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90DFB">
      <w:pPr>
        <w:spacing w:before="2" w:line="574" w:lineRule="exact"/>
        <w:rPr>
          <w:rFonts w:ascii="宋体" w:hAnsi="宋体" w:eastAsia="宋体" w:cs="宋体"/>
          <w:sz w:val="27"/>
          <w:szCs w:val="27"/>
          <w:lang w:eastAsia="zh-CN"/>
        </w:rPr>
      </w:pPr>
    </w:p>
    <w:p w14:paraId="065DA4D5">
      <w:pPr>
        <w:spacing w:line="574" w:lineRule="exact"/>
        <w:jc w:val="center"/>
        <w:rPr>
          <w:rFonts w:ascii="方正小标宋_GBK" w:eastAsia="方正小标宋_GBK" w:cs="宋体"/>
          <w:sz w:val="44"/>
          <w:szCs w:val="44"/>
          <w:lang w:eastAsia="zh-CN"/>
        </w:rPr>
      </w:pPr>
      <w:r>
        <w:rPr>
          <w:rFonts w:hint="eastAsia" w:ascii="方正小标宋_GBK" w:eastAsia="方正小标宋_GBK"/>
          <w:sz w:val="44"/>
          <w:szCs w:val="44"/>
          <w:lang w:eastAsia="zh-CN"/>
        </w:rPr>
        <w:t>江苏省政府专项债券项目绩效自评价报告</w:t>
      </w:r>
    </w:p>
    <w:p w14:paraId="4E72693E">
      <w:pPr>
        <w:spacing w:line="574" w:lineRule="exact"/>
        <w:jc w:val="center"/>
        <w:rPr>
          <w:rFonts w:ascii="方正楷体_GBK" w:eastAsia="方正楷体_GBK"/>
          <w:sz w:val="30"/>
          <w:szCs w:val="30"/>
          <w:lang w:eastAsia="zh-CN"/>
        </w:rPr>
      </w:pPr>
      <w:r>
        <w:rPr>
          <w:rFonts w:hint="eastAsia" w:ascii="方正楷体_GBK" w:eastAsia="方正楷体_GBK"/>
          <w:sz w:val="30"/>
          <w:szCs w:val="30"/>
          <w:lang w:eastAsia="zh-CN"/>
        </w:rPr>
        <w:t>（宁芜铁路扩能改造工程）</w:t>
      </w:r>
    </w:p>
    <w:p w14:paraId="05B4EB90">
      <w:pPr>
        <w:spacing w:line="560" w:lineRule="exact"/>
        <w:ind w:firstLine="600" w:firstLineChars="200"/>
        <w:jc w:val="both"/>
        <w:rPr>
          <w:rFonts w:ascii="Times New Roman" w:hAnsi="Times New Roman" w:eastAsia="黑体" w:cs="Times New Roman"/>
          <w:sz w:val="30"/>
          <w:szCs w:val="30"/>
          <w:lang w:eastAsia="zh-CN"/>
        </w:rPr>
      </w:pPr>
      <w:r>
        <w:rPr>
          <w:rFonts w:hint="eastAsia" w:ascii="Times New Roman" w:hAnsi="Times New Roman" w:eastAsia="黑体" w:cs="Times New Roman"/>
          <w:sz w:val="30"/>
          <w:szCs w:val="30"/>
          <w:lang w:eastAsia="zh-CN"/>
        </w:rPr>
        <w:t>一、项目情况</w:t>
      </w:r>
    </w:p>
    <w:p w14:paraId="10DB5DB3">
      <w:pPr>
        <w:spacing w:line="560" w:lineRule="exact"/>
        <w:ind w:firstLine="584" w:firstLineChars="200"/>
        <w:jc w:val="both"/>
        <w:rPr>
          <w:rFonts w:ascii="方正楷体_GBK" w:hAnsi="方正楷体_GBK" w:eastAsia="方正楷体_GBK" w:cs="方正楷体_GBK"/>
          <w:spacing w:val="-4"/>
          <w:sz w:val="30"/>
          <w:szCs w:val="30"/>
          <w:lang w:eastAsia="zh-CN"/>
        </w:rPr>
      </w:pPr>
      <w:r>
        <w:rPr>
          <w:rFonts w:hint="eastAsia" w:ascii="方正楷体_GBK" w:hAnsi="方正楷体_GBK" w:eastAsia="方正楷体_GBK" w:cs="方正楷体_GBK"/>
          <w:spacing w:val="-4"/>
          <w:sz w:val="30"/>
          <w:szCs w:val="30"/>
          <w:lang w:eastAsia="zh-CN"/>
        </w:rPr>
        <w:t>（一）项目概况</w:t>
      </w:r>
    </w:p>
    <w:p w14:paraId="3653F082">
      <w:pPr>
        <w:spacing w:line="560" w:lineRule="exact"/>
        <w:ind w:firstLine="600" w:firstLineChars="200"/>
        <w:jc w:val="both"/>
        <w:rPr>
          <w:rFonts w:ascii="Times New Roman" w:hAnsi="Times New Roman" w:eastAsia="方正仿宋_GBK" w:cs="Times New Roman"/>
          <w:b/>
          <w:bCs/>
          <w:sz w:val="30"/>
          <w:szCs w:val="30"/>
          <w:lang w:eastAsia="zh-CN"/>
        </w:rPr>
      </w:pPr>
      <w:r>
        <w:rPr>
          <w:rFonts w:hint="eastAsia" w:ascii="Times New Roman" w:hAnsi="Times New Roman" w:eastAsia="方正仿宋_GBK" w:cs="Times New Roman"/>
          <w:b/>
          <w:bCs/>
          <w:sz w:val="30"/>
          <w:szCs w:val="30"/>
          <w:lang w:eastAsia="zh-CN"/>
        </w:rPr>
        <w:t>1. 项目背景</w:t>
      </w:r>
    </w:p>
    <w:p w14:paraId="221BCDCD">
      <w:p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宁芜铁路始建于民国时期，随着周边铁路线路的逐渐完善，逐步成为长三角地区承担重要客货运输任务的国家铁路线。随着城市的不断扩张，原本位于城市边缘的铁路横穿主城秦淮、建邺、雨花等多区，对周边居住环境及交通情况产生了巨大影响，对铁路搬迁外绕的呼声日益高涨。</w:t>
      </w:r>
    </w:p>
    <w:p w14:paraId="4F3920B6">
      <w:pPr>
        <w:spacing w:line="560" w:lineRule="exact"/>
        <w:ind w:firstLine="600" w:firstLineChars="200"/>
        <w:jc w:val="both"/>
        <w:rPr>
          <w:rFonts w:ascii="Times New Roman" w:hAnsi="Times New Roman" w:eastAsia="方正仿宋简体" w:cs="Times New Roman"/>
          <w:b/>
          <w:bCs/>
          <w:sz w:val="30"/>
          <w:szCs w:val="30"/>
          <w:lang w:eastAsia="zh-CN"/>
        </w:rPr>
      </w:pPr>
      <w:r>
        <w:rPr>
          <w:rFonts w:hint="eastAsia" w:ascii="Times New Roman" w:hAnsi="Times New Roman" w:eastAsia="方正仿宋_GBK" w:cs="Times New Roman"/>
          <w:sz w:val="30"/>
          <w:szCs w:val="30"/>
          <w:lang w:eastAsia="zh-CN"/>
        </w:rPr>
        <w:t>既有</w:t>
      </w:r>
      <w:r>
        <w:rPr>
          <w:rFonts w:ascii="Times New Roman" w:hAnsi="Times New Roman" w:eastAsia="方正仿宋_GBK" w:cs="Times New Roman"/>
          <w:sz w:val="30"/>
          <w:szCs w:val="30"/>
          <w:lang w:eastAsia="zh-CN"/>
        </w:rPr>
        <w:t>宁芜线经过的南京、安徽的马芜铜经济带是我国钢铁工业的重要基地</w:t>
      </w:r>
      <w:r>
        <w:rPr>
          <w:rFonts w:hint="eastAsia" w:ascii="Times New Roman" w:hAnsi="Times New Roman" w:eastAsia="方正仿宋_GBK" w:cs="Times New Roman"/>
          <w:sz w:val="30"/>
          <w:szCs w:val="30"/>
          <w:lang w:eastAsia="zh-CN"/>
        </w:rPr>
        <w:t>，实施本项目是构建宁芜大能力货运通道和沿江通道的需要；既有宁芜铁路沧波门（含）至古雄（含）段位于南京市主城区，实施本项目是适应南京市城市规划发展的需要；通过改线并对宁芜线进行电化改造，能够有效地减少对城市的污染，是节约资源、保护环境、实现环境可持续发展的需要；宁芜铁路的搬迁将解除沿线地块建设限制，释放城市建设空间，加大城市综合开发力度，是促进城市及产业发展的需要。</w:t>
      </w:r>
    </w:p>
    <w:p w14:paraId="03FA25D9">
      <w:pPr>
        <w:numPr>
          <w:ilvl w:val="0"/>
          <w:numId w:val="1"/>
        </w:numPr>
        <w:spacing w:line="560" w:lineRule="exact"/>
        <w:ind w:firstLine="600" w:firstLineChars="200"/>
        <w:jc w:val="both"/>
        <w:rPr>
          <w:rFonts w:ascii="Times New Roman" w:hAnsi="Times New Roman" w:eastAsia="方正仿宋_GBK" w:cs="Times New Roman"/>
          <w:b/>
          <w:bCs/>
          <w:sz w:val="30"/>
          <w:szCs w:val="30"/>
          <w:lang w:eastAsia="zh-CN"/>
        </w:rPr>
      </w:pPr>
      <w:r>
        <w:rPr>
          <w:rFonts w:hint="eastAsia" w:ascii="Times New Roman" w:hAnsi="Times New Roman" w:eastAsia="方正仿宋_GBK" w:cs="Times New Roman"/>
          <w:b/>
          <w:bCs/>
          <w:sz w:val="30"/>
          <w:szCs w:val="30"/>
          <w:lang w:eastAsia="zh-CN"/>
        </w:rPr>
        <w:t>主要内容</w:t>
      </w:r>
    </w:p>
    <w:p w14:paraId="7E9929B2">
      <w:p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宁芜铁路扩能改造工程建设标准为Ⅰ级铁路，电力牵引，设计牵引质量5000吨，设计时速120公里，开行普通客车和货车，项目正线长度约102.2公里，南京段全长61.29公里。北起南京枢纽南京东站，途径马鞍山地区，南至芜湖枢纽芜湖东站，其中，南京枢纽南京东至沧波门段、门南村至南京站客车联络线共计约11.3公里实施电气化改造；沧波门至古雄段既有铁路实施外迁，新建单线约29.7公里，还建江宁镇货场；古雄至芜湖东段约62.5公里实施电气化改造和平改立工程。</w:t>
      </w:r>
    </w:p>
    <w:p w14:paraId="463FAC9B">
      <w:pPr>
        <w:numPr>
          <w:ilvl w:val="0"/>
          <w:numId w:val="1"/>
        </w:numPr>
        <w:spacing w:line="560" w:lineRule="exact"/>
        <w:ind w:firstLine="600" w:firstLineChars="200"/>
        <w:jc w:val="both"/>
        <w:rPr>
          <w:rFonts w:ascii="Times New Roman" w:hAnsi="Times New Roman" w:eastAsia="方正仿宋_GBK" w:cs="Times New Roman"/>
          <w:b/>
          <w:bCs/>
          <w:sz w:val="30"/>
          <w:szCs w:val="30"/>
          <w:lang w:eastAsia="zh-CN"/>
        </w:rPr>
      </w:pPr>
      <w:r>
        <w:rPr>
          <w:rFonts w:hint="eastAsia" w:ascii="Times New Roman" w:hAnsi="Times New Roman" w:eastAsia="方正仿宋_GBK" w:cs="Times New Roman"/>
          <w:b/>
          <w:bCs/>
          <w:sz w:val="30"/>
          <w:szCs w:val="30"/>
          <w:lang w:eastAsia="zh-CN"/>
        </w:rPr>
        <w:t>实施方式</w:t>
      </w:r>
    </w:p>
    <w:p w14:paraId="5F894BE0">
      <w:p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本项目由中国铁路上海局集团公司负责建设及运营管理。</w:t>
      </w:r>
    </w:p>
    <w:p w14:paraId="468F4F4E">
      <w:pPr>
        <w:numPr>
          <w:ilvl w:val="0"/>
          <w:numId w:val="1"/>
        </w:numPr>
        <w:spacing w:line="560" w:lineRule="exact"/>
        <w:ind w:firstLine="600" w:firstLineChars="200"/>
        <w:jc w:val="both"/>
        <w:rPr>
          <w:rFonts w:ascii="Times New Roman" w:hAnsi="Times New Roman" w:eastAsia="方正仿宋_GBK" w:cs="Times New Roman"/>
          <w:b/>
          <w:bCs/>
          <w:sz w:val="30"/>
          <w:szCs w:val="30"/>
          <w:lang w:eastAsia="zh-CN"/>
        </w:rPr>
      </w:pPr>
      <w:r>
        <w:rPr>
          <w:rFonts w:hint="eastAsia" w:ascii="Times New Roman" w:hAnsi="Times New Roman" w:eastAsia="方正仿宋_GBK" w:cs="Times New Roman"/>
          <w:b/>
          <w:bCs/>
          <w:sz w:val="30"/>
          <w:szCs w:val="30"/>
          <w:lang w:eastAsia="zh-CN"/>
        </w:rPr>
        <w:t>资金投入和使用情况</w:t>
      </w:r>
    </w:p>
    <w:p w14:paraId="0936133D">
      <w:p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根据《市政府关于宁芜铁路扩能改造工程（南京段）资金平衡方案的批复》（</w:t>
      </w:r>
      <w:r>
        <w:rPr>
          <w:rFonts w:ascii="Times New Roman" w:hAnsi="Times New Roman" w:eastAsia="方正仿宋_GBK" w:cs="Times New Roman"/>
          <w:sz w:val="30"/>
          <w:szCs w:val="30"/>
          <w:lang w:eastAsia="zh-CN"/>
        </w:rPr>
        <w:t>宁政复〔202</w:t>
      </w:r>
      <w:r>
        <w:rPr>
          <w:rFonts w:hint="eastAsia" w:ascii="Times New Roman" w:hAnsi="Times New Roman" w:eastAsia="方正仿宋_GBK" w:cs="Times New Roman"/>
          <w:sz w:val="30"/>
          <w:szCs w:val="30"/>
          <w:lang w:eastAsia="zh-CN"/>
        </w:rPr>
        <w:t>2</w:t>
      </w:r>
      <w:r>
        <w:rPr>
          <w:rFonts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15</w:t>
      </w:r>
      <w:r>
        <w:rPr>
          <w:rFonts w:ascii="Times New Roman" w:hAnsi="Times New Roman" w:eastAsia="方正仿宋_GBK" w:cs="Times New Roman"/>
          <w:sz w:val="30"/>
          <w:szCs w:val="30"/>
          <w:lang w:eastAsia="zh-CN"/>
        </w:rPr>
        <w:t xml:space="preserve"> 号</w:t>
      </w:r>
      <w:r>
        <w:rPr>
          <w:rFonts w:hint="eastAsia" w:ascii="Times New Roman" w:hAnsi="Times New Roman" w:eastAsia="方正仿宋_GBK" w:cs="Times New Roman"/>
          <w:sz w:val="30"/>
          <w:szCs w:val="30"/>
          <w:lang w:eastAsia="zh-CN"/>
        </w:rPr>
        <w:t>），宁芜铁路扩能改造工程估算投资约 98.6 亿元，南京</w:t>
      </w:r>
      <w:r>
        <w:rPr>
          <w:rFonts w:ascii="Times New Roman" w:hAnsi="Times New Roman" w:eastAsia="方正仿宋_GBK" w:cs="Times New Roman"/>
          <w:sz w:val="30"/>
          <w:szCs w:val="30"/>
          <w:lang w:eastAsia="zh-CN"/>
        </w:rPr>
        <w:t>市实际出资分为</w:t>
      </w:r>
      <w:r>
        <w:rPr>
          <w:rFonts w:hint="eastAsia" w:ascii="Times New Roman" w:hAnsi="Times New Roman" w:eastAsia="方正仿宋_GBK" w:cs="Times New Roman"/>
          <w:sz w:val="30"/>
          <w:szCs w:val="30"/>
          <w:lang w:eastAsia="zh-CN"/>
        </w:rPr>
        <w:t>五</w:t>
      </w:r>
      <w:r>
        <w:rPr>
          <w:rFonts w:ascii="Times New Roman" w:hAnsi="Times New Roman" w:eastAsia="方正仿宋_GBK" w:cs="Times New Roman"/>
          <w:sz w:val="30"/>
          <w:szCs w:val="30"/>
          <w:lang w:eastAsia="zh-CN"/>
        </w:rPr>
        <w:t>部分：</w:t>
      </w:r>
      <w:r>
        <w:rPr>
          <w:rFonts w:hint="eastAsia" w:ascii="Times New Roman" w:hAnsi="Times New Roman" w:eastAsia="方正仿宋_GBK" w:cs="Times New Roman"/>
          <w:sz w:val="30"/>
          <w:szCs w:val="30"/>
          <w:lang w:eastAsia="zh-CN"/>
        </w:rPr>
        <w:t>一是新建外绕段工程费 32.51 亿元、征地拆迁费 17.25 亿元；二是新建江宁镇货场工程费 2.88 亿元、征地拆迁费 5.54 亿元；三是还建轨料基地和维修工区征地拆迁资本金 1.26 亿元（计入江苏高铁公司）四是扩能非外绕段征地拆迁资本金 3.87 亿元（计入江苏高铁公司地方股份）；五是项目红线内及环评线内敏感建筑超包干征地拆迁费初步测算约 12.18 亿元以及项目红线外环评线内非敏感建筑、红线外环评线外征地拆迁费。按市区共建原则，上述五部分资金由南京市本级承担42.88亿元。</w:t>
      </w:r>
    </w:p>
    <w:p w14:paraId="041F2366">
      <w:pPr>
        <w:spacing w:line="560" w:lineRule="exact"/>
        <w:ind w:firstLine="600" w:firstLineChars="200"/>
        <w:jc w:val="both"/>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2</w:t>
      </w:r>
      <w:r>
        <w:rPr>
          <w:rFonts w:ascii="Times New Roman" w:hAnsi="Times New Roman" w:eastAsia="方正仿宋_GBK" w:cs="Times New Roman"/>
          <w:sz w:val="30"/>
          <w:szCs w:val="30"/>
          <w:lang w:eastAsia="zh-CN"/>
        </w:rPr>
        <w:t>02</w:t>
      </w:r>
      <w:r>
        <w:rPr>
          <w:rFonts w:hint="eastAsia" w:ascii="Times New Roman" w:hAnsi="Times New Roman" w:eastAsia="方正仿宋_GBK" w:cs="Times New Roman"/>
          <w:sz w:val="30"/>
          <w:szCs w:val="30"/>
          <w:lang w:eastAsia="zh-CN"/>
        </w:rPr>
        <w:t>4年6月，项目通过2</w:t>
      </w:r>
      <w:r>
        <w:rPr>
          <w:rFonts w:ascii="Times New Roman" w:hAnsi="Times New Roman" w:eastAsia="方正仿宋_GBK" w:cs="Times New Roman"/>
          <w:sz w:val="30"/>
          <w:szCs w:val="30"/>
          <w:lang w:eastAsia="zh-CN"/>
        </w:rPr>
        <w:t>02</w:t>
      </w:r>
      <w:r>
        <w:rPr>
          <w:rFonts w:hint="eastAsia" w:ascii="Times New Roman" w:hAnsi="Times New Roman" w:eastAsia="方正仿宋_GBK" w:cs="Times New Roman"/>
          <w:sz w:val="30"/>
          <w:szCs w:val="30"/>
          <w:lang w:eastAsia="zh-CN"/>
        </w:rPr>
        <w:t>4年江苏省城镇建设专项债券募集资金9亿元（南京市本级部分），发行期限</w:t>
      </w:r>
      <w:r>
        <w:rPr>
          <w:rFonts w:hint="eastAsia" w:ascii="Times New Roman" w:hAnsi="Times New Roman" w:eastAsia="方正仿宋_GBK" w:cs="Times New Roman"/>
          <w:sz w:val="30"/>
          <w:szCs w:val="30"/>
          <w:lang w:val="en-US" w:eastAsia="zh-CN"/>
        </w:rPr>
        <w:t>30</w:t>
      </w:r>
      <w:r>
        <w:rPr>
          <w:rFonts w:hint="eastAsia" w:ascii="Times New Roman" w:hAnsi="Times New Roman" w:eastAsia="方正仿宋_GBK" w:cs="Times New Roman"/>
          <w:sz w:val="30"/>
          <w:szCs w:val="30"/>
          <w:lang w:eastAsia="zh-CN"/>
        </w:rPr>
        <w:t>年，利率</w:t>
      </w:r>
      <w:r>
        <w:rPr>
          <w:rFonts w:hint="eastAsia" w:ascii="Times New Roman" w:hAnsi="Times New Roman" w:eastAsia="方正仿宋_GBK" w:cs="Times New Roman"/>
          <w:sz w:val="30"/>
          <w:szCs w:val="30"/>
          <w:lang w:val="en-US" w:eastAsia="zh-CN"/>
        </w:rPr>
        <w:t>2.56</w:t>
      </w:r>
      <w:r>
        <w:rPr>
          <w:rFonts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。该笔专项债券由南京市交通运输局和南京铁路建设投资有限责任公司按1：1比例共同申报，全部用于项目资本金投资。</w:t>
      </w:r>
    </w:p>
    <w:p w14:paraId="0AB09283">
      <w:pPr>
        <w:spacing w:line="560" w:lineRule="exact"/>
        <w:ind w:firstLine="600" w:firstLineChars="200"/>
        <w:jc w:val="both"/>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2</w:t>
      </w:r>
      <w:r>
        <w:rPr>
          <w:rFonts w:ascii="Times New Roman" w:hAnsi="Times New Roman" w:eastAsia="方正仿宋_GBK" w:cs="Times New Roman"/>
          <w:sz w:val="30"/>
          <w:szCs w:val="30"/>
          <w:lang w:eastAsia="zh-CN"/>
        </w:rPr>
        <w:t>02</w:t>
      </w:r>
      <w:r>
        <w:rPr>
          <w:rFonts w:hint="eastAsia" w:ascii="Times New Roman" w:hAnsi="Times New Roman" w:eastAsia="方正仿宋_GBK" w:cs="Times New Roman"/>
          <w:sz w:val="30"/>
          <w:szCs w:val="30"/>
          <w:lang w:val="en-US" w:eastAsia="zh-CN"/>
        </w:rPr>
        <w:t>5</w:t>
      </w:r>
      <w:r>
        <w:rPr>
          <w:rFonts w:hint="eastAsia" w:ascii="Times New Roman" w:hAnsi="Times New Roman" w:eastAsia="方正仿宋_GBK" w:cs="Times New Roman"/>
          <w:sz w:val="30"/>
          <w:szCs w:val="30"/>
          <w:lang w:eastAsia="zh-CN"/>
        </w:rPr>
        <w:t>年</w:t>
      </w:r>
      <w:r>
        <w:rPr>
          <w:rFonts w:hint="eastAsia" w:ascii="Times New Roman" w:hAnsi="Times New Roman" w:eastAsia="方正仿宋_GBK" w:cs="Times New Roman"/>
          <w:sz w:val="30"/>
          <w:szCs w:val="30"/>
          <w:lang w:val="en-US" w:eastAsia="zh-CN"/>
        </w:rPr>
        <w:t>3</w:t>
      </w:r>
      <w:r>
        <w:rPr>
          <w:rFonts w:hint="eastAsia" w:ascii="Times New Roman" w:hAnsi="Times New Roman" w:eastAsia="方正仿宋_GBK" w:cs="Times New Roman"/>
          <w:sz w:val="30"/>
          <w:szCs w:val="30"/>
          <w:lang w:eastAsia="zh-CN"/>
        </w:rPr>
        <w:t>月，项目通过2</w:t>
      </w:r>
      <w:r>
        <w:rPr>
          <w:rFonts w:ascii="Times New Roman" w:hAnsi="Times New Roman" w:eastAsia="方正仿宋_GBK" w:cs="Times New Roman"/>
          <w:sz w:val="30"/>
          <w:szCs w:val="30"/>
          <w:lang w:eastAsia="zh-CN"/>
        </w:rPr>
        <w:t>02</w:t>
      </w:r>
      <w:r>
        <w:rPr>
          <w:rFonts w:hint="eastAsia" w:ascii="Times New Roman" w:hAnsi="Times New Roman" w:eastAsia="方正仿宋_GBK" w:cs="Times New Roman"/>
          <w:sz w:val="30"/>
          <w:szCs w:val="30"/>
          <w:lang w:val="en-US" w:eastAsia="zh-CN"/>
        </w:rPr>
        <w:t>5</w:t>
      </w:r>
      <w:r>
        <w:rPr>
          <w:rFonts w:hint="eastAsia" w:ascii="Times New Roman" w:hAnsi="Times New Roman" w:eastAsia="方正仿宋_GBK" w:cs="Times New Roman"/>
          <w:sz w:val="30"/>
          <w:szCs w:val="30"/>
          <w:lang w:eastAsia="zh-CN"/>
        </w:rPr>
        <w:t>年江苏省城镇建设专项债券募集资金</w:t>
      </w:r>
      <w:r>
        <w:rPr>
          <w:rFonts w:hint="eastAsia" w:ascii="Times New Roman" w:hAnsi="Times New Roman" w:eastAsia="方正仿宋_GBK" w:cs="Times New Roman"/>
          <w:sz w:val="30"/>
          <w:szCs w:val="30"/>
          <w:lang w:val="en-US" w:eastAsia="zh-CN"/>
        </w:rPr>
        <w:t>10.6</w:t>
      </w:r>
      <w:r>
        <w:rPr>
          <w:rFonts w:hint="eastAsia" w:ascii="Times New Roman" w:hAnsi="Times New Roman" w:eastAsia="方正仿宋_GBK" w:cs="Times New Roman"/>
          <w:sz w:val="30"/>
          <w:szCs w:val="30"/>
          <w:lang w:eastAsia="zh-CN"/>
        </w:rPr>
        <w:t>亿元（南京市本级部分），发行期限</w:t>
      </w:r>
      <w:r>
        <w:rPr>
          <w:rFonts w:hint="eastAsia" w:ascii="Times New Roman" w:hAnsi="Times New Roman" w:eastAsia="方正仿宋_GBK" w:cs="Times New Roman"/>
          <w:sz w:val="30"/>
          <w:szCs w:val="30"/>
          <w:lang w:val="en-US" w:eastAsia="zh-CN"/>
        </w:rPr>
        <w:t>30</w:t>
      </w:r>
      <w:r>
        <w:rPr>
          <w:rFonts w:hint="eastAsia" w:ascii="Times New Roman" w:hAnsi="Times New Roman" w:eastAsia="方正仿宋_GBK" w:cs="Times New Roman"/>
          <w:sz w:val="30"/>
          <w:szCs w:val="30"/>
          <w:lang w:eastAsia="zh-CN"/>
        </w:rPr>
        <w:t>年，利率</w:t>
      </w:r>
      <w:r>
        <w:rPr>
          <w:rFonts w:hint="eastAsia" w:ascii="Times New Roman" w:hAnsi="Times New Roman" w:eastAsia="方正仿宋_GBK" w:cs="Times New Roman"/>
          <w:sz w:val="30"/>
          <w:szCs w:val="30"/>
          <w:lang w:val="en-US" w:eastAsia="zh-CN"/>
        </w:rPr>
        <w:t>2.07</w:t>
      </w:r>
      <w:r>
        <w:rPr>
          <w:rFonts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。该笔专项债券由南京市交通运输局和南京铁路建设投资有限责任公司按1：1比例共同申报，全部用于项目资本金投资。</w:t>
      </w:r>
    </w:p>
    <w:p w14:paraId="55D3B40A">
      <w:pPr>
        <w:spacing w:line="560" w:lineRule="exact"/>
        <w:ind w:firstLine="584" w:firstLineChars="200"/>
        <w:jc w:val="both"/>
        <w:rPr>
          <w:rFonts w:ascii="方正楷体_GBK" w:hAnsi="方正楷体_GBK" w:eastAsia="方正楷体_GBK" w:cs="方正楷体_GBK"/>
          <w:spacing w:val="-4"/>
          <w:sz w:val="30"/>
          <w:szCs w:val="30"/>
          <w:lang w:eastAsia="zh-CN"/>
        </w:rPr>
      </w:pPr>
      <w:r>
        <w:rPr>
          <w:rFonts w:hint="eastAsia" w:ascii="方正楷体_GBK" w:hAnsi="方正楷体_GBK" w:eastAsia="方正楷体_GBK" w:cs="方正楷体_GBK"/>
          <w:spacing w:val="-4"/>
          <w:sz w:val="30"/>
          <w:szCs w:val="30"/>
          <w:lang w:eastAsia="zh-CN"/>
        </w:rPr>
        <w:t>（二）绩效目标</w:t>
      </w:r>
    </w:p>
    <w:p w14:paraId="2D0C220E">
      <w:p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b/>
          <w:bCs/>
          <w:sz w:val="30"/>
          <w:szCs w:val="30"/>
          <w:lang w:eastAsia="zh-CN"/>
        </w:rPr>
        <w:t>项目总体目标：</w:t>
      </w:r>
      <w:r>
        <w:rPr>
          <w:rFonts w:hint="eastAsia" w:ascii="Times New Roman" w:hAnsi="Times New Roman" w:eastAsia="方正仿宋_GBK" w:cs="Times New Roman"/>
          <w:sz w:val="30"/>
          <w:szCs w:val="30"/>
          <w:lang w:eastAsia="zh-CN"/>
        </w:rPr>
        <w:t>构建宁芜货运通道和沿江通道，适应南京市城市规划发展，节约资源、保护环境、实现环境可持续发展。</w:t>
      </w:r>
    </w:p>
    <w:p w14:paraId="007AFBDE">
      <w:p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b/>
          <w:bCs/>
          <w:sz w:val="30"/>
          <w:szCs w:val="30"/>
          <w:lang w:eastAsia="zh-CN"/>
        </w:rPr>
        <w:t>阶段性目标：</w:t>
      </w:r>
      <w:r>
        <w:rPr>
          <w:rFonts w:hint="eastAsia" w:ascii="Times New Roman" w:hAnsi="Times New Roman" w:eastAsia="方正仿宋_GBK" w:cs="Times New Roman"/>
          <w:sz w:val="30"/>
          <w:szCs w:val="30"/>
          <w:lang w:eastAsia="zh-CN"/>
        </w:rPr>
        <w:t>资金到位率100%，资金执行率</w:t>
      </w:r>
      <w:r>
        <w:rPr>
          <w:rFonts w:hint="eastAsia" w:ascii="Times New Roman" w:hAnsi="Times New Roman" w:eastAsia="方正仿宋_GBK" w:cs="Times New Roman"/>
          <w:sz w:val="30"/>
          <w:szCs w:val="30"/>
          <w:lang w:val="en-US" w:eastAsia="zh-CN"/>
        </w:rPr>
        <w:t>100%，资金使用合规性100%；管理制度健全，制度执行有效；</w:t>
      </w:r>
      <w:r>
        <w:rPr>
          <w:rFonts w:hint="eastAsia" w:ascii="Times New Roman" w:hAnsi="Times New Roman" w:eastAsia="方正仿宋_GBK" w:cs="Times New Roman"/>
          <w:sz w:val="30"/>
          <w:szCs w:val="30"/>
          <w:lang w:eastAsia="zh-CN"/>
        </w:rPr>
        <w:t>建设计划</w:t>
      </w:r>
      <w:r>
        <w:rPr>
          <w:rFonts w:hint="eastAsia" w:ascii="Times New Roman" w:hAnsi="Times New Roman" w:eastAsia="方正仿宋_GBK" w:cs="Times New Roman"/>
          <w:sz w:val="30"/>
          <w:szCs w:val="30"/>
          <w:lang w:val="en-US" w:eastAsia="zh-CN"/>
        </w:rPr>
        <w:t>完成</w:t>
      </w:r>
      <w:r>
        <w:rPr>
          <w:rFonts w:hint="eastAsia" w:ascii="Times New Roman" w:hAnsi="Times New Roman" w:eastAsia="方正仿宋_GBK" w:cs="Times New Roman"/>
          <w:sz w:val="30"/>
          <w:szCs w:val="30"/>
          <w:lang w:eastAsia="zh-CN"/>
        </w:rPr>
        <w:t>率100%，项目设计变更率</w:t>
      </w:r>
      <w:r>
        <w:rPr>
          <w:rFonts w:hint="eastAsia" w:ascii="Times New Roman" w:hAnsi="Times New Roman" w:eastAsia="方正仿宋_GBK" w:cs="Times New Roman"/>
          <w:sz w:val="30"/>
          <w:szCs w:val="30"/>
          <w:lang w:val="en-US" w:eastAsia="zh-CN"/>
        </w:rPr>
        <w:t>&lt;10%，</w:t>
      </w:r>
      <w:r>
        <w:rPr>
          <w:rFonts w:hint="eastAsia" w:ascii="Times New Roman" w:hAnsi="Times New Roman" w:eastAsia="方正仿宋_GBK" w:cs="Times New Roman"/>
          <w:sz w:val="30"/>
          <w:szCs w:val="30"/>
          <w:lang w:eastAsia="zh-CN"/>
        </w:rPr>
        <w:t>投资完成及时率100%，批复概算控制率&lt;100%；</w:t>
      </w:r>
      <w:r>
        <w:rPr>
          <w:rFonts w:hint="eastAsia" w:ascii="Times New Roman" w:hAnsi="Times New Roman" w:eastAsia="方正仿宋_GBK" w:cs="Times New Roman"/>
          <w:sz w:val="30"/>
          <w:szCs w:val="30"/>
          <w:lang w:val="en-US" w:eastAsia="zh-CN"/>
        </w:rPr>
        <w:t>促进区域经济发展，提升公共交通服务水平，</w:t>
      </w:r>
      <w:r>
        <w:rPr>
          <w:rFonts w:hint="eastAsia" w:ascii="Times New Roman" w:hAnsi="Times New Roman" w:eastAsia="方正仿宋_GBK" w:cs="Times New Roman"/>
          <w:sz w:val="30"/>
          <w:szCs w:val="30"/>
          <w:lang w:eastAsia="zh-CN"/>
        </w:rPr>
        <w:t>符合环评审批要求</w:t>
      </w:r>
      <w:r>
        <w:rPr>
          <w:rFonts w:hint="eastAsia" w:ascii="Times New Roman" w:hAnsi="Times New Roman" w:eastAsia="方正仿宋_GBK" w:cs="Times New Roman"/>
          <w:sz w:val="30"/>
          <w:szCs w:val="30"/>
          <w:lang w:val="en-US" w:eastAsia="zh-CN"/>
        </w:rPr>
        <w:t>100%</w:t>
      </w:r>
      <w:r>
        <w:rPr>
          <w:rFonts w:hint="eastAsia" w:ascii="Times New Roman" w:hAnsi="Times New Roman" w:eastAsia="方正仿宋_GBK" w:cs="Times New Roman"/>
          <w:sz w:val="30"/>
          <w:szCs w:val="30"/>
          <w:lang w:eastAsia="zh-CN"/>
        </w:rPr>
        <w:t>，满足未来一定时期内交通需求</w:t>
      </w:r>
      <w:r>
        <w:rPr>
          <w:rFonts w:hint="eastAsia" w:ascii="Times New Roman" w:hAnsi="Times New Roman" w:eastAsia="方正仿宋_GBK" w:cs="Times New Roman"/>
          <w:sz w:val="30"/>
          <w:szCs w:val="30"/>
          <w:lang w:val="en-US" w:eastAsia="zh-CN"/>
        </w:rPr>
        <w:t>100%</w:t>
      </w:r>
      <w:r>
        <w:rPr>
          <w:rFonts w:hint="eastAsia" w:ascii="Times New Roman" w:hAnsi="Times New Roman" w:eastAsia="方正仿宋_GBK" w:cs="Times New Roman"/>
          <w:sz w:val="30"/>
          <w:szCs w:val="30"/>
          <w:lang w:eastAsia="zh-CN"/>
        </w:rPr>
        <w:t>，直接服务对象满意度≥85%。</w:t>
      </w:r>
    </w:p>
    <w:p w14:paraId="0BCB8F47">
      <w:pPr>
        <w:spacing w:line="574" w:lineRule="exact"/>
        <w:ind w:firstLine="600" w:firstLineChars="200"/>
        <w:jc w:val="both"/>
        <w:rPr>
          <w:rFonts w:ascii="黑体" w:hAnsi="黑体" w:eastAsia="黑体"/>
          <w:sz w:val="30"/>
          <w:szCs w:val="30"/>
          <w:lang w:eastAsia="zh-CN"/>
        </w:rPr>
      </w:pPr>
      <w:r>
        <w:rPr>
          <w:rFonts w:hint="eastAsia" w:ascii="黑体" w:hAnsi="黑体" w:eastAsia="黑体"/>
          <w:sz w:val="30"/>
          <w:szCs w:val="30"/>
          <w:lang w:eastAsia="zh-CN"/>
        </w:rPr>
        <w:t>二、评价情况</w:t>
      </w:r>
    </w:p>
    <w:p w14:paraId="657AEB87">
      <w:pPr>
        <w:spacing w:line="560" w:lineRule="exact"/>
        <w:ind w:firstLine="584" w:firstLineChars="200"/>
        <w:jc w:val="both"/>
        <w:rPr>
          <w:rFonts w:hint="eastAsia" w:ascii="方正楷体_GBK" w:hAnsi="方正楷体_GBK" w:eastAsia="方正楷体_GBK" w:cs="方正楷体_GBK"/>
          <w:spacing w:val="-4"/>
          <w:sz w:val="30"/>
          <w:szCs w:val="30"/>
          <w:lang w:eastAsia="zh-CN"/>
        </w:rPr>
      </w:pPr>
      <w:r>
        <w:rPr>
          <w:rFonts w:hint="eastAsia" w:ascii="方正楷体_GBK" w:hAnsi="方正楷体_GBK" w:eastAsia="方正楷体_GBK" w:cs="方正楷体_GBK"/>
          <w:spacing w:val="-4"/>
          <w:sz w:val="30"/>
          <w:szCs w:val="30"/>
          <w:lang w:eastAsia="zh-CN"/>
        </w:rPr>
        <w:t>（一）项目特点分析</w:t>
      </w:r>
    </w:p>
    <w:p w14:paraId="5206FE47">
      <w:p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宁芜铁路修建年代久远，至今已经运营了80多年，随着城市扩张，宁芜铁路位于南京枢纽的部分已经被包进了南京市区的腹地，沿线开发建设程度较高，部分小区居民反映虽然小区已经通过环评验收，但每天无论白天还是深夜，均会受到铁路鸣笛影响；另外有一些老旧小区，因建设年代较久远，建设时相关标准不完善，导致其与铁路线路较近，有些甚至在10m内，每到晚上鸣笛噪声影响难以入眠，给居民带来巨大困扰。实施宁芜铁路扩能改造，</w:t>
      </w:r>
      <w:r>
        <w:rPr>
          <w:rFonts w:hint="eastAsia" w:ascii="方正仿宋_GBK" w:hAnsi="仿宋_GB2312" w:eastAsia="方正仿宋_GBK"/>
          <w:snapToGrid w:val="0"/>
          <w:sz w:val="32"/>
          <w:szCs w:val="32"/>
          <w:lang w:eastAsia="zh-CN"/>
        </w:rPr>
        <w:t>一直是南京市的夙愿，也</w:t>
      </w:r>
      <w:r>
        <w:rPr>
          <w:rFonts w:hint="eastAsia" w:ascii="Times New Roman" w:hAnsi="Times New Roman" w:eastAsia="方正仿宋_GBK" w:cs="Times New Roman"/>
          <w:sz w:val="30"/>
          <w:szCs w:val="30"/>
          <w:lang w:eastAsia="zh-CN"/>
        </w:rPr>
        <w:t>是落实“生态优先、绿色发展”理念、推动长江经济带高质量发展的具体举措。</w:t>
      </w:r>
    </w:p>
    <w:p w14:paraId="58D4C507">
      <w:pPr>
        <w:numPr>
          <w:ilvl w:val="0"/>
          <w:numId w:val="2"/>
        </w:numPr>
        <w:spacing w:line="560" w:lineRule="exact"/>
        <w:ind w:firstLine="600" w:firstLineChars="200"/>
        <w:rPr>
          <w:rFonts w:ascii="Times New Roman" w:hAnsi="Times New Roman" w:eastAsia="方正仿宋_GBK" w:cs="Times New Roman"/>
          <w:sz w:val="30"/>
          <w:szCs w:val="30"/>
          <w:lang w:eastAsia="zh-CN"/>
        </w:rPr>
      </w:pPr>
      <w:r>
        <w:rPr>
          <w:rFonts w:hint="eastAsia" w:ascii="Times New Roman" w:hAnsi="Times New Roman" w:eastAsia="方正仿宋_GBK" w:cs="Times New Roman"/>
          <w:b/>
          <w:bCs/>
          <w:sz w:val="30"/>
          <w:szCs w:val="30"/>
          <w:lang w:eastAsia="zh-CN"/>
        </w:rPr>
        <w:t>破解城市空间分割，整体打通城市发展脉络：</w:t>
      </w:r>
      <w:r>
        <w:rPr>
          <w:rFonts w:hint="eastAsia" w:ascii="Times New Roman" w:hAnsi="Times New Roman" w:eastAsia="方正仿宋_GBK" w:cs="Times New Roman"/>
          <w:sz w:val="30"/>
          <w:szCs w:val="30"/>
          <w:lang w:eastAsia="zh-CN"/>
        </w:rPr>
        <w:t>受铁路分割影响，铁路沿线两侧发展不均衡的情况较为突出。宁芜铁路外绕后，将缝合割裂的城市空间，整体打通城市发展脉络，促进铁路沿线经济发展</w:t>
      </w:r>
      <w:r>
        <w:rPr>
          <w:rFonts w:ascii="Times New Roman" w:hAnsi="Times New Roman" w:eastAsia="方正仿宋_GBK" w:cs="Times New Roman"/>
          <w:sz w:val="30"/>
          <w:szCs w:val="30"/>
          <w:lang w:eastAsia="zh-CN"/>
        </w:rPr>
        <w:t>。</w:t>
      </w:r>
    </w:p>
    <w:p w14:paraId="2EC5FAD8">
      <w:pPr>
        <w:numPr>
          <w:ilvl w:val="0"/>
          <w:numId w:val="2"/>
        </w:num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b/>
          <w:bCs/>
          <w:sz w:val="30"/>
          <w:szCs w:val="30"/>
          <w:lang w:eastAsia="zh-CN"/>
        </w:rPr>
        <w:t>化解交通阻隔节点，完善城市交通路网发展：</w:t>
      </w:r>
      <w:r>
        <w:rPr>
          <w:rFonts w:hint="eastAsia" w:ascii="Times New Roman" w:hAnsi="Times New Roman" w:eastAsia="方正仿宋_GBK" w:cs="Times New Roman"/>
          <w:sz w:val="30"/>
          <w:szCs w:val="30"/>
          <w:lang w:eastAsia="zh-CN"/>
        </w:rPr>
        <w:t>宁芜铁路沿线道路车辆等待时间较长，通行指标低，铁路运输与城市交通的冲突明显。宁芜铁路实施外绕后，将有效化解沿线交通拥堵和安全风险，对城市道路通畅带来重大影响。</w:t>
      </w:r>
    </w:p>
    <w:p w14:paraId="6FFAB49D">
      <w:pPr>
        <w:numPr>
          <w:ilvl w:val="0"/>
          <w:numId w:val="2"/>
        </w:numPr>
        <w:spacing w:line="560" w:lineRule="exact"/>
        <w:ind w:firstLine="600" w:firstLineChars="200"/>
        <w:jc w:val="both"/>
        <w:rPr>
          <w:rFonts w:ascii="Times New Roman" w:hAnsi="Times New Roman" w:eastAsia="方正仿宋_GBK" w:cs="Times New Roman"/>
          <w:sz w:val="30"/>
          <w:szCs w:val="30"/>
          <w:lang w:eastAsia="zh-CN"/>
        </w:rPr>
      </w:pPr>
      <w:r>
        <w:rPr>
          <w:rFonts w:hint="eastAsia" w:ascii="Times New Roman" w:hAnsi="Times New Roman" w:eastAsia="方正仿宋_GBK" w:cs="Times New Roman"/>
          <w:b/>
          <w:bCs/>
          <w:sz w:val="30"/>
          <w:szCs w:val="30"/>
          <w:lang w:eastAsia="zh-CN"/>
        </w:rPr>
        <w:t>实现铁路节能减排，积极改善沿线生态环境：</w:t>
      </w:r>
      <w:r>
        <w:rPr>
          <w:rFonts w:hint="eastAsia" w:ascii="Times New Roman" w:hAnsi="Times New Roman" w:eastAsia="方正仿宋_GBK" w:cs="Times New Roman"/>
          <w:sz w:val="30"/>
          <w:szCs w:val="30"/>
          <w:lang w:eastAsia="zh-CN"/>
        </w:rPr>
        <w:t>既有宁芜铁路为非电气化单线铁路，采用内燃机车牵引运输，内燃机车使用柴油将排出对周边环境有负面影响的有害成分二氧化碳、二氧化硫等，不利于改善沿线生态环境，促进节能减排。同时，单线铁路高密度运输导致沿线多处平交道口机动车拥堵现象严重，怠速尾气排放对附近区域环境质量造成不利影响</w:t>
      </w:r>
      <w:r>
        <w:rPr>
          <w:rFonts w:ascii="Times New Roman" w:hAnsi="Times New Roman" w:eastAsia="方正仿宋_GBK" w:cs="Times New Roman"/>
          <w:sz w:val="30"/>
          <w:szCs w:val="30"/>
          <w:lang w:eastAsia="zh-CN"/>
        </w:rPr>
        <w:t>。</w:t>
      </w:r>
    </w:p>
    <w:p w14:paraId="20D9C93C">
      <w:pPr>
        <w:numPr>
          <w:ilvl w:val="0"/>
          <w:numId w:val="2"/>
        </w:numPr>
        <w:spacing w:line="560" w:lineRule="exact"/>
        <w:ind w:firstLine="600" w:firstLineChars="200"/>
        <w:jc w:val="both"/>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b/>
          <w:bCs/>
          <w:sz w:val="30"/>
          <w:szCs w:val="30"/>
          <w:lang w:eastAsia="zh-CN"/>
        </w:rPr>
        <w:t>改善铁路噪声干扰，积极回应民生关切事项：</w:t>
      </w:r>
      <w:r>
        <w:rPr>
          <w:rFonts w:hint="eastAsia" w:ascii="Times New Roman" w:hAnsi="Times New Roman" w:eastAsia="方正仿宋_GBK" w:cs="Times New Roman"/>
          <w:sz w:val="30"/>
          <w:szCs w:val="30"/>
          <w:lang w:eastAsia="zh-CN"/>
        </w:rPr>
        <w:t>宁芜铁路（沧波门至古雄段）沿线地处南京市中心城区，目前已建成的居民小区24处、学校7处、医院1处，铁路噪声排放符合国家相关标准，但仍对居民造成影响干扰。宁芜铁路（沧波门至古雄段）改线工程实施后将有效降低原线沿线区域环境噪声水平；同时，新建铁路采取噪声排放更低的电气机车牵引，工程设计隧占比高，还将同步实施噪声防治设施，进一步降低铁路噪音对沿线人居环境的影响，实现铁路运输与沿线环境的和谐发展。</w:t>
      </w:r>
    </w:p>
    <w:p w14:paraId="22DE749E">
      <w:pPr>
        <w:pStyle w:val="15"/>
        <w:spacing w:line="560" w:lineRule="exact"/>
        <w:ind w:firstLine="600" w:firstLineChars="200"/>
        <w:rPr>
          <w:rFonts w:ascii="Times New Roman" w:hAnsi="Times New Roman" w:eastAsia="方正仿宋_GBK" w:cs="Times New Roman"/>
          <w:sz w:val="30"/>
          <w:szCs w:val="30"/>
          <w:lang w:eastAsia="zh-CN"/>
        </w:rPr>
      </w:pPr>
      <w:r>
        <w:rPr>
          <w:rFonts w:ascii="Times New Roman" w:hAnsi="Times New Roman" w:eastAsia="方正仿宋_GBK" w:cs="Times New Roman"/>
          <w:sz w:val="30"/>
          <w:szCs w:val="30"/>
          <w:lang w:eastAsia="zh-CN"/>
        </w:rPr>
        <w:t>综上，本次自评价的目的，主要有两方面</w:t>
      </w:r>
      <w:r>
        <w:rPr>
          <w:rFonts w:hint="eastAsia" w:ascii="Times New Roman" w:hAnsi="Times New Roman" w:eastAsia="方正仿宋_GBK" w:cs="Times New Roman"/>
          <w:sz w:val="30"/>
          <w:szCs w:val="30"/>
          <w:lang w:eastAsia="zh-CN"/>
        </w:rPr>
        <w:t>：</w:t>
      </w:r>
      <w:r>
        <w:rPr>
          <w:rFonts w:ascii="Times New Roman" w:hAnsi="Times New Roman" w:eastAsia="方正仿宋_GBK" w:cs="Times New Roman"/>
          <w:sz w:val="30"/>
          <w:szCs w:val="30"/>
          <w:lang w:eastAsia="zh-CN"/>
        </w:rPr>
        <w:t>一是通过项目绩效评价，了解项目建设现状及项目落实情况，是否符合相关政策法规的要求，并且对政策合理性以及可持续性提出合理化建议，供有关部门参考；二是通过项目绩效评价，了解财政资金使用情况和取得的经济效益、社会效益、公众满意度，总结项目管理经验及成效，发现项目建设组织管理中存在的问题，以问题为导向，进一步完善组织管理，推进运行管理的规范化、专业化、科学化，不断提升项目管理水平。</w:t>
      </w:r>
    </w:p>
    <w:p w14:paraId="107C9056">
      <w:pPr>
        <w:numPr>
          <w:ilvl w:val="0"/>
          <w:numId w:val="3"/>
        </w:numPr>
        <w:spacing w:line="560" w:lineRule="exact"/>
        <w:ind w:firstLine="584" w:firstLineChars="200"/>
        <w:jc w:val="both"/>
        <w:rPr>
          <w:rFonts w:ascii="方正楷体_GBK" w:hAnsi="方正楷体_GBK" w:eastAsia="方正楷体_GBK" w:cs="方正楷体_GBK"/>
          <w:spacing w:val="-4"/>
          <w:sz w:val="30"/>
          <w:szCs w:val="30"/>
          <w:lang w:eastAsia="zh-CN"/>
        </w:rPr>
      </w:pPr>
      <w:r>
        <w:rPr>
          <w:rFonts w:hint="eastAsia" w:ascii="方正楷体_GBK" w:hAnsi="方正楷体_GBK" w:eastAsia="方正楷体_GBK" w:cs="方正楷体_GBK"/>
          <w:spacing w:val="-4"/>
          <w:sz w:val="30"/>
          <w:szCs w:val="30"/>
          <w:lang w:eastAsia="zh-CN"/>
        </w:rPr>
        <w:t>评价思路方法</w:t>
      </w:r>
    </w:p>
    <w:p w14:paraId="2FFA8294">
      <w:pPr>
        <w:spacing w:line="560" w:lineRule="exact"/>
        <w:ind w:firstLine="600" w:firstLineChars="200"/>
        <w:jc w:val="both"/>
        <w:rPr>
          <w:rFonts w:ascii="Times New Roman" w:hAnsi="Times New Roman" w:eastAsia="方正仿宋_GBK" w:cs="Times New Roman"/>
          <w:b/>
          <w:bCs/>
          <w:sz w:val="30"/>
          <w:szCs w:val="30"/>
          <w:lang w:eastAsia="zh-CN"/>
        </w:rPr>
      </w:pPr>
      <w:r>
        <w:rPr>
          <w:rFonts w:ascii="Times New Roman" w:hAnsi="Times New Roman" w:eastAsia="方正仿宋_GBK" w:cs="Times New Roman"/>
          <w:b/>
          <w:bCs/>
          <w:sz w:val="30"/>
          <w:szCs w:val="30"/>
          <w:lang w:eastAsia="zh-CN"/>
        </w:rPr>
        <w:t>1.</w:t>
      </w:r>
      <w:r>
        <w:rPr>
          <w:rFonts w:hint="eastAsia" w:ascii="Times New Roman" w:hAnsi="Times New Roman" w:eastAsia="方正仿宋_GBK" w:cs="Times New Roman"/>
          <w:b/>
          <w:bCs/>
          <w:sz w:val="30"/>
          <w:szCs w:val="30"/>
          <w:lang w:eastAsia="zh-CN"/>
        </w:rPr>
        <w:t xml:space="preserve"> </w:t>
      </w:r>
      <w:r>
        <w:rPr>
          <w:rFonts w:ascii="Times New Roman" w:hAnsi="Times New Roman" w:eastAsia="方正仿宋_GBK" w:cs="Times New Roman"/>
          <w:b/>
          <w:bCs/>
          <w:sz w:val="30"/>
          <w:szCs w:val="30"/>
          <w:lang w:eastAsia="zh-CN"/>
        </w:rPr>
        <w:t xml:space="preserve">评价原则 </w:t>
      </w:r>
    </w:p>
    <w:p w14:paraId="7DFCBFDD">
      <w:pPr>
        <w:spacing w:line="560" w:lineRule="exact"/>
        <w:ind w:firstLine="600" w:firstLineChars="200"/>
        <w:jc w:val="both"/>
        <w:rPr>
          <w:rFonts w:ascii="Times New Roman" w:hAnsi="Times New Roman" w:eastAsia="方正仿宋_GBK" w:cs="Times New Roman"/>
          <w:sz w:val="30"/>
          <w:szCs w:val="30"/>
          <w:lang w:eastAsia="zh-CN"/>
        </w:rPr>
      </w:pPr>
      <w:r>
        <w:rPr>
          <w:rFonts w:ascii="Times New Roman" w:hAnsi="Times New Roman" w:eastAsia="方正仿宋_GBK" w:cs="Times New Roman"/>
          <w:sz w:val="30"/>
          <w:szCs w:val="30"/>
          <w:lang w:eastAsia="zh-CN"/>
        </w:rPr>
        <w:t>本次绩效评价依照“决策-过程-产出-效益”的逻辑路径，</w:t>
      </w:r>
      <w:r>
        <w:rPr>
          <w:rFonts w:ascii="Times New Roman" w:hAnsi="Times New Roman" w:eastAsia="方正仿宋_GBK" w:cs="Times New Roman"/>
          <w:sz w:val="30"/>
          <w:szCs w:val="30"/>
          <w:highlight w:val="none"/>
          <w:lang w:eastAsia="zh-CN"/>
        </w:rPr>
        <w:t>通过前期访谈、资料收集、基础表填写</w:t>
      </w:r>
      <w:r>
        <w:rPr>
          <w:rFonts w:hint="eastAsia" w:ascii="Times New Roman" w:hAnsi="Times New Roman" w:eastAsia="方正仿宋_GBK" w:cs="Times New Roman"/>
          <w:sz w:val="30"/>
          <w:szCs w:val="30"/>
          <w:highlight w:val="none"/>
          <w:lang w:val="en-US" w:eastAsia="zh-CN"/>
        </w:rPr>
        <w:t>等</w:t>
      </w:r>
      <w:r>
        <w:rPr>
          <w:rFonts w:ascii="Times New Roman" w:hAnsi="Times New Roman" w:eastAsia="方正仿宋_GBK" w:cs="Times New Roman"/>
          <w:sz w:val="30"/>
          <w:szCs w:val="30"/>
          <w:highlight w:val="none"/>
          <w:lang w:eastAsia="zh-CN"/>
        </w:rPr>
        <w:t>形式</w:t>
      </w:r>
      <w:r>
        <w:rPr>
          <w:rFonts w:ascii="Times New Roman" w:hAnsi="Times New Roman" w:eastAsia="方正仿宋_GBK" w:cs="Times New Roman"/>
          <w:sz w:val="30"/>
          <w:szCs w:val="30"/>
          <w:lang w:eastAsia="zh-CN"/>
        </w:rPr>
        <w:t>，对相关信息进行收集，从财政支出专项资金角度对项目绩效进行综合评价，综合分析项目主管单位在项目执行过程中的管理模式、202</w:t>
      </w:r>
      <w:r>
        <w:rPr>
          <w:rFonts w:hint="eastAsia" w:ascii="Times New Roman" w:hAnsi="Times New Roman" w:eastAsia="方正仿宋_GBK" w:cs="Times New Roman"/>
          <w:sz w:val="30"/>
          <w:szCs w:val="30"/>
          <w:lang w:eastAsia="zh-CN"/>
        </w:rPr>
        <w:t>4</w:t>
      </w:r>
      <w:r>
        <w:rPr>
          <w:rFonts w:ascii="Times New Roman" w:hAnsi="Times New Roman" w:eastAsia="方正仿宋_GBK" w:cs="Times New Roman"/>
          <w:sz w:val="30"/>
          <w:szCs w:val="30"/>
          <w:lang w:eastAsia="zh-CN"/>
        </w:rPr>
        <w:t>年度</w:t>
      </w:r>
      <w:r>
        <w:rPr>
          <w:rFonts w:hint="eastAsia" w:ascii="Times New Roman" w:hAnsi="Times New Roman" w:eastAsia="方正仿宋_GBK" w:cs="Times New Roman"/>
          <w:sz w:val="30"/>
          <w:szCs w:val="30"/>
          <w:lang w:eastAsia="zh-CN"/>
        </w:rPr>
        <w:t>宁芜铁路扩能改造工程建设成果</w:t>
      </w:r>
      <w:r>
        <w:rPr>
          <w:rFonts w:ascii="Times New Roman" w:hAnsi="Times New Roman" w:eastAsia="方正仿宋_GBK" w:cs="Times New Roman"/>
          <w:sz w:val="30"/>
          <w:szCs w:val="30"/>
          <w:lang w:eastAsia="zh-CN"/>
        </w:rPr>
        <w:t>，为提高专项资金效益提出针对性的意见和建议。</w:t>
      </w:r>
    </w:p>
    <w:p w14:paraId="3C006B50">
      <w:pPr>
        <w:numPr>
          <w:ilvl w:val="0"/>
          <w:numId w:val="4"/>
        </w:numPr>
        <w:spacing w:line="560" w:lineRule="exact"/>
        <w:ind w:firstLine="600" w:firstLineChars="200"/>
        <w:jc w:val="both"/>
        <w:rPr>
          <w:rFonts w:ascii="Times New Roman" w:hAnsi="Times New Roman" w:eastAsia="方正仿宋_GBK" w:cs="Times New Roman"/>
          <w:b/>
          <w:bCs/>
          <w:sz w:val="30"/>
          <w:szCs w:val="30"/>
          <w:lang w:eastAsia="zh-CN"/>
        </w:rPr>
      </w:pPr>
      <w:r>
        <w:rPr>
          <w:rFonts w:ascii="Times New Roman" w:hAnsi="Times New Roman" w:eastAsia="方正仿宋_GBK" w:cs="Times New Roman"/>
          <w:b/>
          <w:bCs/>
          <w:sz w:val="30"/>
          <w:szCs w:val="30"/>
          <w:lang w:eastAsia="zh-CN"/>
        </w:rPr>
        <w:t xml:space="preserve">评价方法 </w:t>
      </w:r>
    </w:p>
    <w:p w14:paraId="4E359899">
      <w:pPr>
        <w:spacing w:line="560" w:lineRule="exact"/>
        <w:ind w:firstLine="600" w:firstLineChars="200"/>
        <w:jc w:val="both"/>
        <w:rPr>
          <w:rFonts w:ascii="Times New Roman" w:hAnsi="Times New Roman" w:eastAsia="方正仿宋_GBK" w:cs="Times New Roman"/>
          <w:sz w:val="30"/>
          <w:szCs w:val="30"/>
          <w:lang w:eastAsia="zh-CN"/>
        </w:rPr>
      </w:pPr>
      <w:r>
        <w:rPr>
          <w:rFonts w:ascii="Times New Roman" w:hAnsi="Times New Roman" w:eastAsia="方正仿宋_GBK" w:cs="Times New Roman"/>
          <w:sz w:val="30"/>
          <w:szCs w:val="30"/>
          <w:lang w:eastAsia="zh-CN"/>
        </w:rPr>
        <w:t>本次绩效评价主要运用指标分析法来支撑评价的逻辑紧密性与客观性，并坚持定量优先、定量与定性相结合的方式，始终遵循科学规范、公正公开、分级分类、绩效相关的基本原则。通过制定评价指标体系，以明确的评分标准</w:t>
      </w:r>
      <w:r>
        <w:rPr>
          <w:rFonts w:hint="eastAsia" w:ascii="Times New Roman" w:hAnsi="Times New Roman" w:eastAsia="方正仿宋_GBK" w:cs="Times New Roman"/>
          <w:sz w:val="30"/>
          <w:szCs w:val="30"/>
          <w:lang w:val="en-US" w:eastAsia="zh-CN"/>
        </w:rPr>
        <w:t>从过程、产出、效益</w:t>
      </w:r>
      <w:r>
        <w:rPr>
          <w:rFonts w:ascii="Times New Roman" w:hAnsi="Times New Roman" w:eastAsia="方正仿宋_GBK" w:cs="Times New Roman"/>
          <w:sz w:val="30"/>
          <w:szCs w:val="30"/>
          <w:lang w:eastAsia="zh-CN"/>
        </w:rPr>
        <w:t>等各个</w:t>
      </w:r>
      <w:r>
        <w:rPr>
          <w:rFonts w:hint="eastAsia" w:ascii="Times New Roman" w:hAnsi="Times New Roman" w:eastAsia="方正仿宋_GBK" w:cs="Times New Roman"/>
          <w:sz w:val="30"/>
          <w:szCs w:val="30"/>
          <w:lang w:val="en-US" w:eastAsia="zh-CN"/>
        </w:rPr>
        <w:t>角度</w:t>
      </w:r>
      <w:r>
        <w:rPr>
          <w:rFonts w:ascii="Times New Roman" w:hAnsi="Times New Roman" w:eastAsia="方正仿宋_GBK" w:cs="Times New Roman"/>
          <w:sz w:val="30"/>
          <w:szCs w:val="30"/>
          <w:lang w:eastAsia="zh-CN"/>
        </w:rPr>
        <w:t>进行综合</w:t>
      </w:r>
      <w:r>
        <w:rPr>
          <w:rFonts w:hint="eastAsia" w:ascii="Times New Roman" w:hAnsi="Times New Roman" w:eastAsia="方正仿宋_GBK" w:cs="Times New Roman"/>
          <w:sz w:val="30"/>
          <w:szCs w:val="30"/>
          <w:lang w:val="en-US" w:eastAsia="zh-CN"/>
        </w:rPr>
        <w:t>分析</w:t>
      </w:r>
      <w:r>
        <w:rPr>
          <w:rFonts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val="en-US" w:eastAsia="zh-CN"/>
        </w:rPr>
        <w:t>并</w:t>
      </w:r>
      <w:r>
        <w:rPr>
          <w:rFonts w:ascii="Times New Roman" w:hAnsi="Times New Roman" w:eastAsia="方正仿宋_GBK" w:cs="Times New Roman"/>
          <w:sz w:val="30"/>
          <w:szCs w:val="30"/>
          <w:lang w:eastAsia="zh-CN"/>
        </w:rPr>
        <w:t>针对指标分析揭示的问题，提出针对性建议。</w:t>
      </w:r>
    </w:p>
    <w:p w14:paraId="112DAACB">
      <w:pPr>
        <w:spacing w:line="560" w:lineRule="exact"/>
        <w:ind w:firstLine="584" w:firstLineChars="200"/>
        <w:jc w:val="both"/>
        <w:rPr>
          <w:rFonts w:ascii="方正楷体_GBK" w:hAnsi="方正楷体_GBK" w:eastAsia="方正楷体_GBK" w:cs="方正楷体_GBK"/>
          <w:spacing w:val="-4"/>
          <w:sz w:val="30"/>
          <w:szCs w:val="30"/>
          <w:lang w:eastAsia="zh-CN"/>
        </w:rPr>
      </w:pPr>
      <w:r>
        <w:rPr>
          <w:rFonts w:hint="eastAsia" w:ascii="方正楷体_GBK" w:hAnsi="方正楷体_GBK" w:eastAsia="方正楷体_GBK" w:cs="方正楷体_GBK"/>
          <w:spacing w:val="-4"/>
          <w:sz w:val="30"/>
          <w:szCs w:val="30"/>
          <w:lang w:eastAsia="zh-CN"/>
        </w:rPr>
        <w:t>（三）评价工作情况</w:t>
      </w:r>
    </w:p>
    <w:p w14:paraId="4D067F23">
      <w:pPr>
        <w:spacing w:line="560" w:lineRule="exact"/>
        <w:ind w:firstLine="600" w:firstLineChars="200"/>
        <w:jc w:val="both"/>
        <w:rPr>
          <w:rFonts w:ascii="Times New Roman" w:hAnsi="Times New Roman" w:eastAsia="方正仿宋_GBK" w:cs="Times New Roman"/>
          <w:sz w:val="30"/>
          <w:szCs w:val="30"/>
          <w:lang w:eastAsia="zh-CN"/>
        </w:rPr>
      </w:pPr>
      <w:r>
        <w:rPr>
          <w:rFonts w:ascii="Times New Roman" w:hAnsi="Times New Roman" w:eastAsia="方正仿宋_GBK" w:cs="Times New Roman"/>
          <w:b/>
          <w:bCs/>
          <w:sz w:val="30"/>
          <w:szCs w:val="30"/>
          <w:lang w:eastAsia="zh-CN"/>
        </w:rPr>
        <w:t>1.</w:t>
      </w:r>
      <w:r>
        <w:rPr>
          <w:rFonts w:hint="eastAsia" w:ascii="Times New Roman" w:hAnsi="Times New Roman" w:eastAsia="方正仿宋_GBK" w:cs="Times New Roman"/>
          <w:b/>
          <w:bCs/>
          <w:sz w:val="30"/>
          <w:szCs w:val="30"/>
          <w:lang w:eastAsia="zh-CN"/>
        </w:rPr>
        <w:t xml:space="preserve"> </w:t>
      </w:r>
      <w:r>
        <w:rPr>
          <w:rFonts w:ascii="Times New Roman" w:hAnsi="Times New Roman" w:eastAsia="方正仿宋_GBK" w:cs="Times New Roman"/>
          <w:b/>
          <w:bCs/>
          <w:sz w:val="30"/>
          <w:szCs w:val="30"/>
          <w:lang w:eastAsia="zh-CN"/>
        </w:rPr>
        <w:t>前期准备。</w:t>
      </w:r>
      <w:r>
        <w:rPr>
          <w:rFonts w:ascii="Times New Roman" w:hAnsi="Times New Roman" w:eastAsia="方正仿宋_GBK" w:cs="Times New Roman"/>
          <w:sz w:val="30"/>
          <w:szCs w:val="30"/>
          <w:lang w:eastAsia="zh-CN"/>
        </w:rPr>
        <w:t>根据前期沟通，对评估项目进行初步了解，阅读相关文件，完成项目文件需求表，在与项目负责人进行沟通后，对后期工作进程进行安排。</w:t>
      </w:r>
    </w:p>
    <w:p w14:paraId="22A288BE">
      <w:pPr>
        <w:spacing w:line="560" w:lineRule="exact"/>
        <w:ind w:firstLine="600" w:firstLineChars="200"/>
        <w:jc w:val="both"/>
        <w:rPr>
          <w:rFonts w:ascii="Times New Roman" w:hAnsi="Times New Roman" w:eastAsia="方正仿宋_GBK" w:cs="Times New Roman"/>
          <w:sz w:val="30"/>
          <w:szCs w:val="30"/>
          <w:lang w:eastAsia="zh-CN"/>
        </w:rPr>
      </w:pPr>
      <w:r>
        <w:rPr>
          <w:rFonts w:ascii="Times New Roman" w:hAnsi="Times New Roman" w:eastAsia="方正仿宋_GBK" w:cs="Times New Roman"/>
          <w:b/>
          <w:bCs/>
          <w:sz w:val="30"/>
          <w:szCs w:val="30"/>
          <w:lang w:eastAsia="zh-CN"/>
        </w:rPr>
        <w:t>2.</w:t>
      </w:r>
      <w:r>
        <w:rPr>
          <w:rFonts w:hint="eastAsia" w:ascii="Times New Roman" w:hAnsi="Times New Roman" w:eastAsia="方正仿宋_GBK" w:cs="Times New Roman"/>
          <w:b/>
          <w:bCs/>
          <w:sz w:val="30"/>
          <w:szCs w:val="30"/>
          <w:lang w:eastAsia="zh-CN"/>
        </w:rPr>
        <w:t xml:space="preserve"> </w:t>
      </w:r>
      <w:r>
        <w:rPr>
          <w:rFonts w:ascii="Times New Roman" w:hAnsi="Times New Roman" w:eastAsia="方正仿宋_GBK" w:cs="Times New Roman"/>
          <w:b/>
          <w:bCs/>
          <w:sz w:val="30"/>
          <w:szCs w:val="30"/>
          <w:lang w:eastAsia="zh-CN"/>
        </w:rPr>
        <w:t>开展调研。</w:t>
      </w:r>
      <w:r>
        <w:rPr>
          <w:rFonts w:ascii="Times New Roman" w:hAnsi="Times New Roman" w:eastAsia="方正仿宋_GBK" w:cs="Times New Roman"/>
          <w:sz w:val="30"/>
          <w:szCs w:val="30"/>
          <w:lang w:eastAsia="zh-CN"/>
        </w:rPr>
        <w:t>前往被评估单位进行前期调研，了解项目相关情况，被评估单位填写相关基础表，调取相关数据，确定评估依据，对经审核后的可定量化的数据进行定量打分，形成绩效评估工作底稿。</w:t>
      </w:r>
    </w:p>
    <w:p w14:paraId="4893D408">
      <w:pPr>
        <w:spacing w:line="560" w:lineRule="exact"/>
        <w:ind w:firstLine="600" w:firstLineChars="200"/>
        <w:jc w:val="both"/>
        <w:rPr>
          <w:rFonts w:ascii="Times New Roman" w:hAnsi="Times New Roman" w:eastAsia="方正仿宋_GBK" w:cs="Times New Roman"/>
          <w:sz w:val="30"/>
          <w:szCs w:val="30"/>
          <w:lang w:eastAsia="zh-CN"/>
        </w:rPr>
      </w:pPr>
      <w:r>
        <w:rPr>
          <w:rFonts w:ascii="Times New Roman" w:hAnsi="Times New Roman" w:eastAsia="方正仿宋_GBK" w:cs="Times New Roman"/>
          <w:b/>
          <w:bCs/>
          <w:sz w:val="30"/>
          <w:szCs w:val="30"/>
          <w:lang w:eastAsia="zh-CN"/>
        </w:rPr>
        <w:t>3.</w:t>
      </w:r>
      <w:r>
        <w:rPr>
          <w:rFonts w:hint="eastAsia" w:ascii="Times New Roman" w:hAnsi="Times New Roman" w:eastAsia="方正仿宋_GBK" w:cs="Times New Roman"/>
          <w:b/>
          <w:bCs/>
          <w:sz w:val="30"/>
          <w:szCs w:val="30"/>
          <w:lang w:eastAsia="zh-CN"/>
        </w:rPr>
        <w:t xml:space="preserve"> </w:t>
      </w:r>
      <w:r>
        <w:rPr>
          <w:rFonts w:ascii="Times New Roman" w:hAnsi="Times New Roman" w:eastAsia="方正仿宋_GBK" w:cs="Times New Roman"/>
          <w:b/>
          <w:bCs/>
          <w:sz w:val="30"/>
          <w:szCs w:val="30"/>
          <w:lang w:eastAsia="zh-CN"/>
        </w:rPr>
        <w:t>报告撰写。</w:t>
      </w:r>
      <w:r>
        <w:rPr>
          <w:rFonts w:ascii="Times New Roman" w:hAnsi="Times New Roman" w:eastAsia="方正仿宋_GBK" w:cs="Times New Roman"/>
          <w:sz w:val="30"/>
          <w:szCs w:val="30"/>
          <w:lang w:eastAsia="zh-CN"/>
        </w:rPr>
        <w:t>以</w:t>
      </w:r>
      <w:r>
        <w:rPr>
          <w:rFonts w:hint="eastAsia" w:ascii="Times New Roman" w:hAnsi="Times New Roman" w:eastAsia="方正仿宋_GBK" w:cs="Times New Roman"/>
          <w:sz w:val="30"/>
          <w:szCs w:val="30"/>
          <w:lang w:val="en-US" w:eastAsia="zh-CN"/>
        </w:rPr>
        <w:t>调研过程中收集到的数据与资料</w:t>
      </w:r>
      <w:r>
        <w:rPr>
          <w:rFonts w:ascii="Times New Roman" w:hAnsi="Times New Roman" w:eastAsia="方正仿宋_GBK" w:cs="Times New Roman"/>
          <w:sz w:val="30"/>
          <w:szCs w:val="30"/>
          <w:lang w:eastAsia="zh-CN"/>
        </w:rPr>
        <w:t>为依据，结合项目总体情况进行报告的撰写，结合多方意见对报告内容进行调整、修改，</w:t>
      </w:r>
      <w:r>
        <w:rPr>
          <w:rFonts w:hint="eastAsia" w:ascii="Times New Roman" w:hAnsi="Times New Roman" w:eastAsia="方正仿宋_GBK" w:cs="Times New Roman"/>
          <w:sz w:val="30"/>
          <w:szCs w:val="30"/>
          <w:lang w:eastAsia="zh-CN"/>
        </w:rPr>
        <w:t>形成报告终稿。</w:t>
      </w:r>
    </w:p>
    <w:p w14:paraId="52DA2022">
      <w:pPr>
        <w:spacing w:line="560" w:lineRule="exact"/>
        <w:ind w:firstLine="584" w:firstLineChars="200"/>
        <w:jc w:val="both"/>
        <w:rPr>
          <w:rFonts w:ascii="方正楷体_GBK" w:hAnsi="方正楷体_GBK" w:eastAsia="方正楷体_GBK" w:cs="方正楷体_GBK"/>
          <w:spacing w:val="-4"/>
          <w:sz w:val="30"/>
          <w:szCs w:val="30"/>
          <w:lang w:eastAsia="zh-CN"/>
        </w:rPr>
      </w:pPr>
      <w:r>
        <w:rPr>
          <w:rFonts w:hint="eastAsia" w:ascii="方正楷体_GBK" w:hAnsi="方正楷体_GBK" w:eastAsia="方正楷体_GBK" w:cs="方正楷体_GBK"/>
          <w:spacing w:val="-4"/>
          <w:sz w:val="30"/>
          <w:szCs w:val="30"/>
          <w:lang w:eastAsia="zh-CN"/>
        </w:rPr>
        <w:t>（四）绩效评价结论</w:t>
      </w:r>
    </w:p>
    <w:p w14:paraId="31D2383B">
      <w:pPr>
        <w:spacing w:line="560" w:lineRule="exact"/>
        <w:ind w:firstLine="600" w:firstLineChars="200"/>
        <w:jc w:val="both"/>
        <w:rPr>
          <w:rFonts w:ascii="方正仿宋_GBK" w:eastAsia="方正仿宋_GBK"/>
          <w:sz w:val="30"/>
          <w:szCs w:val="30"/>
          <w:lang w:eastAsia="zh-CN"/>
        </w:rPr>
      </w:pPr>
      <w:r>
        <w:rPr>
          <w:rFonts w:ascii="Times New Roman" w:hAnsi="Times New Roman" w:eastAsia="方正仿宋_GBK" w:cs="Times New Roman"/>
          <w:sz w:val="30"/>
          <w:szCs w:val="30"/>
          <w:lang w:eastAsia="zh-CN"/>
        </w:rPr>
        <w:t>202</w:t>
      </w:r>
      <w:r>
        <w:rPr>
          <w:rFonts w:hint="eastAsia" w:ascii="Times New Roman" w:hAnsi="Times New Roman" w:eastAsia="方正仿宋_GBK" w:cs="Times New Roman"/>
          <w:sz w:val="30"/>
          <w:szCs w:val="30"/>
          <w:lang w:val="en-US" w:eastAsia="zh-CN"/>
        </w:rPr>
        <w:t>5</w:t>
      </w:r>
      <w:r>
        <w:rPr>
          <w:rFonts w:ascii="Times New Roman" w:hAnsi="Times New Roman" w:eastAsia="方正仿宋_GBK" w:cs="Times New Roman"/>
          <w:sz w:val="30"/>
          <w:szCs w:val="30"/>
          <w:lang w:eastAsia="zh-CN"/>
        </w:rPr>
        <w:t>年</w:t>
      </w:r>
      <w:r>
        <w:rPr>
          <w:rFonts w:hint="eastAsia" w:ascii="Times New Roman" w:hAnsi="Times New Roman" w:eastAsia="方正仿宋_GBK" w:cs="Times New Roman"/>
          <w:sz w:val="30"/>
          <w:szCs w:val="30"/>
          <w:lang w:eastAsia="zh-CN"/>
        </w:rPr>
        <w:t>宁芜铁路扩能改造工程</w:t>
      </w:r>
      <w:r>
        <w:rPr>
          <w:rFonts w:ascii="Times New Roman" w:hAnsi="Times New Roman" w:eastAsia="方正仿宋_GBK" w:cs="Times New Roman"/>
          <w:sz w:val="30"/>
          <w:szCs w:val="30"/>
          <w:lang w:eastAsia="zh-CN"/>
        </w:rPr>
        <w:t>最终评分结果为：</w:t>
      </w:r>
      <w:r>
        <w:rPr>
          <w:rFonts w:hint="eastAsia" w:ascii="Times New Roman" w:hAnsi="Times New Roman" w:eastAsia="方正仿宋_GBK" w:cs="Times New Roman"/>
          <w:sz w:val="30"/>
          <w:szCs w:val="30"/>
          <w:lang w:eastAsia="zh-CN"/>
        </w:rPr>
        <w:t>9</w:t>
      </w:r>
      <w:r>
        <w:rPr>
          <w:rFonts w:hint="eastAsia" w:ascii="Times New Roman" w:hAnsi="Times New Roman" w:eastAsia="方正仿宋_GBK" w:cs="Times New Roman"/>
          <w:sz w:val="30"/>
          <w:szCs w:val="30"/>
          <w:lang w:val="en-US" w:eastAsia="zh-CN"/>
        </w:rPr>
        <w:t>6</w:t>
      </w:r>
      <w:bookmarkStart w:id="3" w:name="_GoBack"/>
      <w:bookmarkEnd w:id="3"/>
      <w:r>
        <w:rPr>
          <w:rFonts w:ascii="Times New Roman" w:hAnsi="Times New Roman" w:eastAsia="方正仿宋_GBK" w:cs="Times New Roman"/>
          <w:sz w:val="30"/>
          <w:szCs w:val="30"/>
          <w:lang w:eastAsia="zh-CN"/>
        </w:rPr>
        <w:t>分</w:t>
      </w:r>
      <w:r>
        <w:rPr>
          <w:rFonts w:hint="eastAsia" w:ascii="Times New Roman" w:hAnsi="Times New Roman" w:eastAsia="方正仿宋_GBK" w:cs="Times New Roman"/>
          <w:sz w:val="30"/>
          <w:szCs w:val="30"/>
          <w:lang w:eastAsia="zh-CN"/>
        </w:rPr>
        <w:t>，</w:t>
      </w:r>
      <w:r>
        <w:rPr>
          <w:rFonts w:ascii="Times New Roman" w:hAnsi="Times New Roman" w:eastAsia="方正仿宋_GBK" w:cs="Times New Roman"/>
          <w:sz w:val="30"/>
          <w:szCs w:val="30"/>
          <w:lang w:eastAsia="zh-CN"/>
        </w:rPr>
        <w:t>绩效评级属于“优”</w:t>
      </w:r>
      <w:r>
        <w:rPr>
          <w:rFonts w:ascii="Times New Roman" w:hAnsi="Times New Roman" w:eastAsia="方正仿宋_GBK" w:cs="Times New Roman"/>
          <w:sz w:val="30"/>
          <w:szCs w:val="30"/>
          <w:vertAlign w:val="superscript"/>
          <w:lang w:eastAsia="zh-CN"/>
        </w:rPr>
        <w:footnoteReference w:id="0"/>
      </w:r>
      <w:r>
        <w:rPr>
          <w:rFonts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及时拨付资金，</w:t>
      </w:r>
      <w:r>
        <w:rPr>
          <w:rFonts w:ascii="Times New Roman" w:hAnsi="Times New Roman" w:eastAsia="方正仿宋_GBK" w:cs="Times New Roman"/>
          <w:sz w:val="30"/>
          <w:szCs w:val="30"/>
          <w:lang w:eastAsia="zh-CN"/>
        </w:rPr>
        <w:t>按时间节点完成</w:t>
      </w:r>
      <w:r>
        <w:rPr>
          <w:rFonts w:hint="eastAsia" w:ascii="Times New Roman" w:hAnsi="Times New Roman" w:eastAsia="方正仿宋_GBK" w:cs="Times New Roman"/>
          <w:sz w:val="30"/>
          <w:szCs w:val="30"/>
          <w:lang w:eastAsia="zh-CN"/>
        </w:rPr>
        <w:t>投资，落实年度建设计划。</w:t>
      </w:r>
    </w:p>
    <w:p w14:paraId="3D3A357C">
      <w:pPr>
        <w:numPr>
          <w:ilvl w:val="0"/>
          <w:numId w:val="5"/>
        </w:numPr>
        <w:spacing w:line="574" w:lineRule="exact"/>
        <w:ind w:firstLine="600" w:firstLineChars="200"/>
        <w:jc w:val="both"/>
        <w:rPr>
          <w:rFonts w:hint="eastAsia" w:ascii="黑体" w:hAnsi="黑体" w:eastAsia="黑体"/>
          <w:sz w:val="30"/>
          <w:szCs w:val="30"/>
          <w:lang w:eastAsia="zh-CN"/>
        </w:rPr>
      </w:pPr>
      <w:r>
        <w:rPr>
          <w:rFonts w:hint="eastAsia" w:ascii="黑体" w:hAnsi="黑体" w:eastAsia="黑体"/>
          <w:sz w:val="30"/>
          <w:szCs w:val="30"/>
          <w:lang w:eastAsia="zh-CN"/>
        </w:rPr>
        <w:t>项目绩效</w:t>
      </w:r>
    </w:p>
    <w:p w14:paraId="566C3408">
      <w:pPr>
        <w:spacing w:line="560" w:lineRule="exact"/>
        <w:ind w:firstLine="600" w:firstLineChars="200"/>
        <w:jc w:val="both"/>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实施宁芜铁路扩能改造，是落实“生态优先、绿色发展”理念、推动长江经济带高质量发展的具体举措。特别是南京城区段(沧波门至古雄)既有铁路外迁，将彻底消除该区段内平交道口安全风险，化解原线路穿城而过带来的割裂城市、噪音干扰、</w:t>
      </w:r>
      <w:r>
        <w:rPr>
          <w:rFonts w:hint="eastAsia" w:ascii="Times New Roman" w:hAnsi="Times New Roman" w:eastAsia="方正仿宋_GBK" w:cs="Times New Roman"/>
          <w:sz w:val="30"/>
          <w:szCs w:val="30"/>
          <w:lang w:eastAsia="zh-CN"/>
        </w:rPr>
        <w:t>污染排放、交通拥堵等问题，既符合南京市城市规划和环境保护要求，又打通了城市发展脉络，对加快沿线地区产业结构升级调整、优化城镇化空间布局、增强路网灵活性等具有重要意义。2021年10月23日，国铁集团、江苏和安徽省联合批复项目可研报告。2022年9月27日，国铁集团、安徽和江苏省人民政府联合批复项目初步设计。</w:t>
      </w:r>
    </w:p>
    <w:p w14:paraId="54134C91">
      <w:pPr>
        <w:spacing w:line="560" w:lineRule="exact"/>
        <w:ind w:firstLine="540" w:firstLineChars="200"/>
        <w:jc w:val="both"/>
        <w:rPr>
          <w:rFonts w:ascii="Times New Roman" w:hAnsi="Times New Roman" w:eastAsia="方正仿宋_GBK" w:cs="Times New Roman"/>
          <w:b/>
          <w:bCs/>
          <w:spacing w:val="-15"/>
          <w:sz w:val="30"/>
          <w:szCs w:val="30"/>
          <w:lang w:eastAsia="zh-CN"/>
        </w:rPr>
      </w:pPr>
      <w:r>
        <w:rPr>
          <w:rFonts w:ascii="Times New Roman" w:hAnsi="Times New Roman" w:eastAsia="方正仿宋_GBK" w:cs="Times New Roman"/>
          <w:b/>
          <w:bCs/>
          <w:spacing w:val="-15"/>
          <w:sz w:val="30"/>
          <w:szCs w:val="30"/>
          <w:lang w:eastAsia="zh-CN"/>
        </w:rPr>
        <w:t>1．</w:t>
      </w:r>
      <w:r>
        <w:rPr>
          <w:rFonts w:hint="eastAsia" w:ascii="Times New Roman" w:hAnsi="Times New Roman" w:eastAsia="方正仿宋_GBK" w:cs="Times New Roman"/>
          <w:b/>
          <w:bCs/>
          <w:spacing w:val="-15"/>
          <w:sz w:val="30"/>
          <w:szCs w:val="30"/>
          <w:lang w:eastAsia="zh-CN"/>
        </w:rPr>
        <w:t>如期启动项目征迁工作</w:t>
      </w:r>
    </w:p>
    <w:p w14:paraId="379D3143">
      <w:pPr>
        <w:spacing w:line="560" w:lineRule="exact"/>
        <w:ind w:firstLine="600" w:firstLineChars="200"/>
        <w:jc w:val="both"/>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2022年11月，工程全面开工建设。2024年1月，为确保项目征迁工作顺利开展，签订了《宁芜铁路扩能改造工程(江苏段)征地拆迁包干实施协议》，约定按照“包进度、包费用、包稳定”的原则，全面履行征地拆迁主体责任。2024年8月12日“宁芜号”盾构机成功始发。积极推进全线用地组卷报批并已取得自然资源部批复，持续开展南京南隧道、秦淮河特大桥工程施工。目前南京南隧道已完成掘进 7109 米，施工占比达 58.9%；秦淮河特大桥稳步推进，完成承台 99 个、占比 89.4%，墩身 97 个、占比 88.5%，现浇梁 392 米、占比 54.1%。现阶段，正全力加快推进全线征地拆迁各项工作。</w:t>
      </w:r>
    </w:p>
    <w:p w14:paraId="544D4B4B">
      <w:pPr>
        <w:spacing w:line="560" w:lineRule="exact"/>
        <w:ind w:firstLine="540" w:firstLineChars="200"/>
        <w:jc w:val="both"/>
        <w:rPr>
          <w:rFonts w:hint="eastAsia" w:ascii="Times New Roman" w:hAnsi="Times New Roman" w:eastAsia="方正仿宋_GBK" w:cs="Times New Roman"/>
          <w:b/>
          <w:bCs/>
          <w:spacing w:val="-15"/>
          <w:sz w:val="30"/>
          <w:szCs w:val="30"/>
          <w:lang w:eastAsia="zh-CN"/>
        </w:rPr>
      </w:pPr>
      <w:r>
        <w:rPr>
          <w:rFonts w:hint="eastAsia" w:ascii="Times New Roman" w:hAnsi="Times New Roman" w:eastAsia="方正仿宋_GBK" w:cs="Times New Roman"/>
          <w:b/>
          <w:bCs/>
          <w:spacing w:val="-15"/>
          <w:sz w:val="30"/>
          <w:szCs w:val="30"/>
          <w:lang w:eastAsia="zh-CN"/>
        </w:rPr>
        <w:t>2. 强化沿江铁路通道能力</w:t>
      </w:r>
    </w:p>
    <w:p w14:paraId="0614B8B4">
      <w:pPr>
        <w:spacing w:line="560" w:lineRule="exact"/>
        <w:ind w:firstLine="600" w:firstLineChars="200"/>
        <w:jc w:val="both"/>
        <w:rPr>
          <w:rFonts w:hint="eastAsia" w:ascii="方正仿宋_GBK" w:hAnsi="仿宋_GB2312" w:eastAsia="方正仿宋_GBK"/>
          <w:snapToGrid w:val="0"/>
          <w:sz w:val="32"/>
          <w:szCs w:val="32"/>
          <w:lang w:eastAsia="zh-CN"/>
        </w:rPr>
      </w:pPr>
      <w:r>
        <w:rPr>
          <w:rFonts w:hint="eastAsia" w:ascii="Times New Roman" w:hAnsi="Times New Roman" w:eastAsia="方正仿宋_GBK" w:cs="Times New Roman"/>
          <w:sz w:val="30"/>
          <w:szCs w:val="30"/>
          <w:lang w:eastAsia="zh-CN"/>
        </w:rPr>
        <w:t>从国家铁路网布局来看，宁芜线与铜九、武九及沪汉蓉武汉以西段段形成了横跨了江苏、安徽、江西、湖北、重庆等省市的东西向铁路运输通道，宁芜线位于中东部的连接地带，是沿江中西部地区通往长三角的咽喉所在，是构成沿江铁路通道的重要组成部分，实施宁芜铁路外绕，提升区段运能，对于强化沿江通道能力有着重大意义。从运输需求的匹配度来看，宁芜铁路沿线地区货运需求旺盛，既有线内燃机车牵引能力相对较弱，单线铁路技术指标低，目前已满指标运营，难以满足未来运输需求，同时既有宁芜铁路外绕后，沿线货场将整合优化，同步新建江宁镇货场，设计能力为240万吨，进一步优化南京铁路枢纽货运布局。</w:t>
      </w:r>
    </w:p>
    <w:p w14:paraId="3937E8C5">
      <w:pPr>
        <w:numPr>
          <w:ilvl w:val="0"/>
          <w:numId w:val="5"/>
        </w:numPr>
        <w:spacing w:line="574" w:lineRule="exact"/>
        <w:ind w:firstLine="600" w:firstLineChars="200"/>
        <w:jc w:val="both"/>
        <w:rPr>
          <w:rFonts w:ascii="黑体" w:hAnsi="黑体" w:eastAsia="黑体"/>
          <w:sz w:val="30"/>
          <w:szCs w:val="30"/>
          <w:lang w:eastAsia="zh-CN"/>
        </w:rPr>
      </w:pPr>
      <w:r>
        <w:rPr>
          <w:rFonts w:hint="eastAsia" w:ascii="黑体" w:hAnsi="黑体" w:eastAsia="黑体"/>
          <w:sz w:val="30"/>
          <w:szCs w:val="30"/>
          <w:lang w:eastAsia="zh-CN"/>
        </w:rPr>
        <w:t>存在问题</w:t>
      </w:r>
    </w:p>
    <w:p w14:paraId="5DBC8072">
      <w:pPr>
        <w:spacing w:line="560" w:lineRule="exact"/>
        <w:ind w:firstLine="600" w:firstLineChars="200"/>
        <w:jc w:val="both"/>
        <w:rPr>
          <w:rFonts w:hint="eastAsia" w:ascii="Times New Roman" w:hAnsi="Times New Roman" w:eastAsia="方正仿宋_GBK" w:cs="Times New Roman"/>
          <w:sz w:val="30"/>
          <w:szCs w:val="30"/>
          <w:lang w:val="en-US" w:eastAsia="zh-CN"/>
        </w:rPr>
      </w:pPr>
      <w:bookmarkStart w:id="0" w:name="OLE_LINK1"/>
      <w:r>
        <w:rPr>
          <w:rFonts w:hint="eastAsia" w:ascii="Times New Roman" w:hAnsi="Times New Roman" w:eastAsia="方正仿宋_GBK" w:cs="Times New Roman"/>
          <w:sz w:val="30"/>
          <w:szCs w:val="30"/>
          <w:lang w:val="en-US" w:eastAsia="zh-CN"/>
        </w:rPr>
        <w:t>宁芜铁路扩能改造工程涉及征迁范围广、安置人口多。按现行《省交通运输厅省国土资源厅关于省交通重点工程建设项目征地补偿安置实施意见的通知》要求，当前难以满足被拆迁居民的安置需求，从而延缓项目建设节奏，在经济效益、社会效益、可持续发展及服务对象满意度方面存在一定问题。</w:t>
      </w:r>
    </w:p>
    <w:p w14:paraId="2451DCA1">
      <w:pPr>
        <w:spacing w:line="560" w:lineRule="exact"/>
        <w:ind w:firstLine="600" w:firstLineChars="200"/>
        <w:jc w:val="both"/>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经济效益方面，补偿政策与市场房价、商业价值不匹配，由此产生征迁阻力可能使工程进度滞后，进而制约宁芜铁路沿线产业升级和物流效率提升，削弱项目对</w:t>
      </w:r>
      <w:r>
        <w:rPr>
          <w:rFonts w:hint="eastAsia" w:ascii="Times New Roman" w:hAnsi="Times New Roman" w:eastAsia="方正仿宋_GBK" w:cs="Times New Roman"/>
          <w:sz w:val="30"/>
          <w:szCs w:val="30"/>
          <w:lang w:eastAsia="zh-CN"/>
        </w:rPr>
        <w:t>区域经济发展</w:t>
      </w:r>
      <w:r>
        <w:rPr>
          <w:rFonts w:hint="eastAsia" w:ascii="Times New Roman" w:hAnsi="Times New Roman" w:eastAsia="方正仿宋_GBK" w:cs="Times New Roman"/>
          <w:sz w:val="30"/>
          <w:szCs w:val="30"/>
          <w:lang w:val="en-US" w:eastAsia="zh-CN"/>
        </w:rPr>
        <w:t>的拉动作用。</w:t>
      </w:r>
    </w:p>
    <w:p w14:paraId="2B8DE431">
      <w:pPr>
        <w:spacing w:line="560" w:lineRule="exact"/>
        <w:ind w:firstLine="600" w:firstLineChars="200"/>
        <w:jc w:val="both"/>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社会效益方面，若居民对工程项目了解不足，其反对意见或不配合态度可能会制约工程实施，影响宁芜铁路整体运能提升，拉低公共交通服务水平。</w:t>
      </w:r>
    </w:p>
    <w:p w14:paraId="7F0167C5">
      <w:pPr>
        <w:spacing w:line="560" w:lineRule="exact"/>
        <w:ind w:firstLine="600" w:firstLineChars="200"/>
        <w:jc w:val="both"/>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可持续发展方面，随着城市扩张速度加快，宁芜铁路日后运力紧张，难以支撑未来一定时期内长三角一体化带来的交通需求。</w:t>
      </w:r>
    </w:p>
    <w:p w14:paraId="64298D0B">
      <w:pPr>
        <w:spacing w:line="560" w:lineRule="exact"/>
        <w:ind w:firstLine="600" w:firstLineChars="200"/>
        <w:jc w:val="both"/>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服务对象满意度方面，由于征迁政策弹性不足，前期沟通过程中忽视居民话语权，可能导致部分特殊群体的个性化安置需求未得到充分关注。</w:t>
      </w:r>
    </w:p>
    <w:bookmarkEnd w:id="0"/>
    <w:p w14:paraId="3C2E65F1">
      <w:pPr>
        <w:numPr>
          <w:ilvl w:val="0"/>
          <w:numId w:val="5"/>
        </w:numPr>
        <w:spacing w:line="574" w:lineRule="exact"/>
        <w:ind w:firstLine="600" w:firstLineChars="200"/>
        <w:jc w:val="both"/>
        <w:rPr>
          <w:rFonts w:hint="eastAsia" w:ascii="黑体" w:hAnsi="黑体" w:eastAsia="黑体" w:cstheme="minorBidi"/>
          <w:sz w:val="30"/>
          <w:szCs w:val="30"/>
          <w:lang w:val="en-US" w:eastAsia="zh-CN"/>
        </w:rPr>
      </w:pPr>
      <w:r>
        <w:rPr>
          <w:rFonts w:hint="eastAsia" w:ascii="黑体" w:hAnsi="黑体" w:eastAsia="黑体"/>
          <w:sz w:val="30"/>
          <w:szCs w:val="30"/>
          <w:lang w:eastAsia="zh-CN"/>
        </w:rPr>
        <w:t>有关建议</w:t>
      </w:r>
    </w:p>
    <w:p w14:paraId="4104BB9E">
      <w:pPr>
        <w:spacing w:line="560" w:lineRule="exact"/>
        <w:ind w:firstLine="600" w:firstLineChars="200"/>
        <w:jc w:val="both"/>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为促进区域经济发展，建议参考区域商品房均价、商铺租金水平调整补偿标准，构建动态补偿机制，如优先安排被征迁商户入驻新建商业区，或提供创业支持，完善配套产业扶持措施。</w:t>
      </w:r>
    </w:p>
    <w:p w14:paraId="155FFCF4">
      <w:pPr>
        <w:spacing w:line="560" w:lineRule="exact"/>
        <w:ind w:firstLine="600" w:firstLineChars="200"/>
        <w:jc w:val="both"/>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为提升公共交通服务水平，建议强化公众参与和透明化沟通，让公众直观了解宁芜铁路改造预期效益，增强居民信任感；同时，在居民密集区通过优化降噪设计、设置隔音墙等方式提升公众接受度。</w:t>
      </w:r>
    </w:p>
    <w:p w14:paraId="7F4A3F5D">
      <w:pPr>
        <w:spacing w:line="560" w:lineRule="exact"/>
        <w:ind w:firstLine="600" w:firstLineChars="200"/>
        <w:jc w:val="both"/>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为应对</w:t>
      </w:r>
      <w:r>
        <w:rPr>
          <w:rFonts w:hint="eastAsia" w:ascii="Times New Roman" w:hAnsi="Times New Roman" w:eastAsia="方正仿宋_GBK" w:cs="Times New Roman"/>
          <w:sz w:val="30"/>
          <w:szCs w:val="30"/>
          <w:lang w:eastAsia="zh-CN"/>
        </w:rPr>
        <w:t>未来</w:t>
      </w:r>
      <w:r>
        <w:rPr>
          <w:rFonts w:hint="eastAsia" w:ascii="Times New Roman" w:hAnsi="Times New Roman" w:eastAsia="方正仿宋_GBK" w:cs="Times New Roman"/>
          <w:sz w:val="30"/>
          <w:szCs w:val="30"/>
          <w:lang w:val="en-US" w:eastAsia="zh-CN"/>
        </w:rPr>
        <w:t>远期地区</w:t>
      </w:r>
      <w:r>
        <w:rPr>
          <w:rFonts w:hint="eastAsia" w:ascii="Times New Roman" w:hAnsi="Times New Roman" w:eastAsia="方正仿宋_GBK" w:cs="Times New Roman"/>
          <w:sz w:val="30"/>
          <w:szCs w:val="30"/>
          <w:lang w:eastAsia="zh-CN"/>
        </w:rPr>
        <w:t>交通需求，</w:t>
      </w:r>
      <w:r>
        <w:rPr>
          <w:rFonts w:hint="eastAsia" w:ascii="Times New Roman" w:hAnsi="Times New Roman" w:eastAsia="方正仿宋_GBK" w:cs="Times New Roman"/>
          <w:sz w:val="30"/>
          <w:szCs w:val="30"/>
          <w:lang w:val="en-US" w:eastAsia="zh-CN"/>
        </w:rPr>
        <w:t>建议</w:t>
      </w:r>
      <w:r>
        <w:rPr>
          <w:rFonts w:hint="eastAsia" w:ascii="Times New Roman" w:hAnsi="Times New Roman" w:eastAsia="方正仿宋_GBK" w:cs="Times New Roman"/>
          <w:sz w:val="30"/>
          <w:szCs w:val="30"/>
          <w:lang w:eastAsia="zh-CN"/>
        </w:rPr>
        <w:t>加强工作的前瞻性和计划性，预留扩建空间，在物流枢纽周边</w:t>
      </w:r>
      <w:r>
        <w:rPr>
          <w:rFonts w:hint="eastAsia" w:ascii="Times New Roman" w:hAnsi="Times New Roman" w:eastAsia="方正仿宋_GBK" w:cs="Times New Roman"/>
          <w:sz w:val="30"/>
          <w:szCs w:val="30"/>
          <w:lang w:val="en-US" w:eastAsia="zh-CN"/>
        </w:rPr>
        <w:t>等</w:t>
      </w:r>
      <w:r>
        <w:rPr>
          <w:rFonts w:hint="eastAsia" w:ascii="Times New Roman" w:hAnsi="Times New Roman" w:eastAsia="方正仿宋_GBK" w:cs="Times New Roman"/>
          <w:sz w:val="30"/>
          <w:szCs w:val="30"/>
          <w:lang w:eastAsia="zh-CN"/>
        </w:rPr>
        <w:t>关键节点提前</w:t>
      </w:r>
      <w:r>
        <w:rPr>
          <w:rFonts w:hint="eastAsia" w:ascii="Times New Roman" w:hAnsi="Times New Roman" w:eastAsia="方正仿宋_GBK" w:cs="Times New Roman"/>
          <w:sz w:val="30"/>
          <w:szCs w:val="30"/>
          <w:lang w:val="en-US" w:eastAsia="zh-CN"/>
        </w:rPr>
        <w:t>布局</w:t>
      </w:r>
      <w:r>
        <w:rPr>
          <w:rFonts w:hint="eastAsia" w:ascii="Times New Roman" w:hAnsi="Times New Roman" w:eastAsia="方正仿宋_GBK" w:cs="Times New Roman"/>
          <w:sz w:val="30"/>
          <w:szCs w:val="30"/>
          <w:lang w:eastAsia="zh-CN"/>
        </w:rPr>
        <w:t>用地</w:t>
      </w:r>
      <w:r>
        <w:rPr>
          <w:rFonts w:hint="eastAsia" w:ascii="Times New Roman" w:hAnsi="Times New Roman" w:eastAsia="方正仿宋_GBK" w:cs="Times New Roman"/>
          <w:sz w:val="30"/>
          <w:szCs w:val="30"/>
          <w:lang w:val="en-US" w:eastAsia="zh-CN"/>
        </w:rPr>
        <w:t>规划</w:t>
      </w:r>
      <w:r>
        <w:rPr>
          <w:rFonts w:hint="eastAsia" w:ascii="Times New Roman" w:hAnsi="Times New Roman" w:eastAsia="方正仿宋_GBK" w:cs="Times New Roman"/>
          <w:sz w:val="30"/>
          <w:szCs w:val="30"/>
          <w:lang w:eastAsia="zh-CN"/>
        </w:rPr>
        <w:t>。</w:t>
      </w:r>
    </w:p>
    <w:p w14:paraId="406671EC">
      <w:pPr>
        <w:spacing w:line="560" w:lineRule="exact"/>
        <w:ind w:firstLine="600" w:firstLineChars="200"/>
        <w:jc w:val="both"/>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为增强服务对象满意度，建议</w:t>
      </w:r>
      <w:r>
        <w:rPr>
          <w:rFonts w:hint="eastAsia" w:ascii="Times New Roman" w:hAnsi="Times New Roman" w:eastAsia="方正仿宋_GBK" w:cs="Times New Roman"/>
          <w:sz w:val="30"/>
          <w:szCs w:val="30"/>
          <w:lang w:eastAsia="zh-CN"/>
        </w:rPr>
        <w:t>提前</w:t>
      </w:r>
      <w:r>
        <w:rPr>
          <w:rFonts w:hint="eastAsia" w:ascii="Times New Roman" w:hAnsi="Times New Roman" w:eastAsia="方正仿宋_GBK" w:cs="Times New Roman"/>
          <w:sz w:val="30"/>
          <w:szCs w:val="30"/>
          <w:lang w:val="en-US" w:eastAsia="zh-CN"/>
        </w:rPr>
        <w:t>就</w:t>
      </w:r>
      <w:r>
        <w:rPr>
          <w:rFonts w:hint="eastAsia" w:ascii="Times New Roman" w:hAnsi="Times New Roman" w:eastAsia="方正仿宋_GBK" w:cs="Times New Roman"/>
          <w:sz w:val="30"/>
          <w:szCs w:val="30"/>
          <w:lang w:eastAsia="zh-CN"/>
        </w:rPr>
        <w:t>安置居民的数量、规模，诉求、可接受的调剂方案等</w:t>
      </w:r>
      <w:r>
        <w:rPr>
          <w:rFonts w:hint="eastAsia" w:ascii="Times New Roman" w:hAnsi="Times New Roman" w:eastAsia="方正仿宋_GBK" w:cs="Times New Roman"/>
          <w:sz w:val="30"/>
          <w:szCs w:val="30"/>
          <w:lang w:val="en-US" w:eastAsia="zh-CN"/>
        </w:rPr>
        <w:t>进行摸底</w:t>
      </w:r>
      <w:r>
        <w:rPr>
          <w:rFonts w:hint="eastAsia"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val="en-US" w:eastAsia="zh-CN"/>
        </w:rPr>
        <w:t>分类制定拆迁安置计划</w:t>
      </w:r>
      <w:r>
        <w:rPr>
          <w:rFonts w:hint="eastAsia" w:ascii="Times New Roman" w:hAnsi="Times New Roman" w:eastAsia="方正仿宋_GBK" w:cs="Times New Roman"/>
          <w:sz w:val="30"/>
          <w:szCs w:val="30"/>
          <w:lang w:eastAsia="zh-CN"/>
        </w:rPr>
        <w:t>，精准采取针对性攻坚策略，提高沿线居民的获得感和体验感。</w:t>
      </w:r>
    </w:p>
    <w:p w14:paraId="17CE411B">
      <w:pPr>
        <w:numPr>
          <w:ilvl w:val="0"/>
          <w:numId w:val="5"/>
        </w:numPr>
        <w:spacing w:line="574" w:lineRule="exact"/>
        <w:ind w:firstLine="600" w:firstLineChars="200"/>
        <w:jc w:val="both"/>
        <w:rPr>
          <w:rFonts w:hint="eastAsia" w:ascii="黑体" w:hAnsi="黑体" w:eastAsia="黑体" w:cstheme="minorBidi"/>
          <w:sz w:val="30"/>
          <w:szCs w:val="30"/>
          <w:lang w:val="en-US" w:eastAsia="zh-CN"/>
        </w:rPr>
      </w:pPr>
      <w:r>
        <w:rPr>
          <w:rFonts w:hint="eastAsia" w:ascii="黑体" w:hAnsi="黑体" w:eastAsia="黑体" w:cstheme="minorBidi"/>
          <w:sz w:val="30"/>
          <w:szCs w:val="30"/>
          <w:lang w:val="en-US" w:eastAsia="zh-CN"/>
        </w:rPr>
        <w:t>相关信息</w:t>
      </w:r>
    </w:p>
    <w:p w14:paraId="09897156">
      <w:pPr>
        <w:numPr>
          <w:ilvl w:val="-1"/>
          <w:numId w:val="0"/>
        </w:numPr>
        <w:spacing w:line="574" w:lineRule="exact"/>
        <w:ind w:firstLine="0" w:firstLineChars="0"/>
        <w:jc w:val="both"/>
        <w:rPr>
          <w:rFonts w:hint="default" w:ascii="Times New Roman" w:hAnsi="Times New Roman" w:eastAsia="方正仿宋_GBK" w:cs="Times New Roman"/>
          <w:sz w:val="30"/>
          <w:szCs w:val="30"/>
          <w:lang w:val="en-US" w:eastAsia="zh-CN"/>
        </w:rPr>
      </w:pPr>
      <w:r>
        <w:rPr>
          <w:rFonts w:hint="eastAsia"/>
          <w:lang w:val="en-US" w:eastAsia="zh-CN"/>
        </w:rPr>
        <w:t xml:space="preserve">            </w:t>
      </w:r>
      <w:r>
        <w:rPr>
          <w:rFonts w:hint="eastAsia" w:ascii="Times New Roman" w:hAnsi="Times New Roman" w:eastAsia="方正仿宋_GBK" w:cs="Times New Roman"/>
          <w:sz w:val="30"/>
          <w:szCs w:val="30"/>
          <w:lang w:val="en-US" w:eastAsia="zh-CN"/>
        </w:rPr>
        <w:t>附件1. 绩效评价评分表</w:t>
      </w:r>
    </w:p>
    <w:sectPr>
      <w:type w:val="continuous"/>
      <w:pgSz w:w="11910" w:h="16840"/>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D3E4DAE">
      <w:pPr>
        <w:pStyle w:val="21"/>
        <w:spacing w:line="240" w:lineRule="auto"/>
        <w:ind w:firstLine="0" w:firstLineChars="0"/>
      </w:pPr>
      <w:r>
        <w:rPr>
          <w:rStyle w:val="13"/>
          <w:rFonts w:ascii="仿宋_GB2312" w:eastAsia="仿宋_GB2312"/>
          <w:sz w:val="18"/>
        </w:rPr>
        <w:footnoteRef/>
      </w:r>
      <w:r>
        <w:rPr>
          <w:rFonts w:ascii="仿宋_GB2312" w:eastAsia="仿宋_GB2312"/>
          <w:sz w:val="18"/>
        </w:rPr>
        <w:t xml:space="preserve"> </w:t>
      </w:r>
      <w:r>
        <w:rPr>
          <w:rFonts w:hint="eastAsia" w:ascii="仿宋_GB2312" w:eastAsia="仿宋_GB2312"/>
          <w:sz w:val="18"/>
        </w:rPr>
        <w:t>参照《南京市财政预算绩效评价操作规程》规定，本次绩效评价结果实施百分制和五级分类：优：得分高于</w:t>
      </w:r>
      <w:r>
        <w:rPr>
          <w:rFonts w:ascii="仿宋_GB2312" w:eastAsia="仿宋_GB2312"/>
          <w:sz w:val="18"/>
        </w:rPr>
        <w:t>90</w:t>
      </w:r>
      <w:r>
        <w:rPr>
          <w:rFonts w:hint="eastAsia" w:ascii="仿宋_GB2312" w:eastAsia="仿宋_GB2312"/>
          <w:sz w:val="18"/>
        </w:rPr>
        <w:t>分（含</w:t>
      </w:r>
      <w:r>
        <w:rPr>
          <w:rFonts w:ascii="仿宋_GB2312" w:eastAsia="仿宋_GB2312"/>
          <w:sz w:val="18"/>
        </w:rPr>
        <w:t>90</w:t>
      </w:r>
      <w:r>
        <w:rPr>
          <w:rFonts w:hint="eastAsia" w:ascii="仿宋_GB2312" w:eastAsia="仿宋_GB2312"/>
          <w:sz w:val="18"/>
        </w:rPr>
        <w:t>分）；</w:t>
      </w:r>
      <w:bookmarkStart w:id="1" w:name="_Toc18538"/>
      <w:bookmarkStart w:id="2" w:name="_Toc28602"/>
      <w:r>
        <w:rPr>
          <w:rFonts w:hint="eastAsia" w:ascii="仿宋_GB2312" w:eastAsia="仿宋_GB2312"/>
          <w:sz w:val="18"/>
        </w:rPr>
        <w:t>良：得分</w:t>
      </w:r>
      <w:r>
        <w:rPr>
          <w:rFonts w:ascii="仿宋_GB2312" w:eastAsia="仿宋_GB2312"/>
          <w:sz w:val="18"/>
        </w:rPr>
        <w:t>80</w:t>
      </w:r>
      <w:r>
        <w:rPr>
          <w:rFonts w:hint="eastAsia" w:ascii="仿宋_GB2312" w:eastAsia="仿宋_GB2312"/>
          <w:sz w:val="18"/>
        </w:rPr>
        <w:t>分</w:t>
      </w:r>
      <w:r>
        <w:rPr>
          <w:rFonts w:ascii="仿宋_GB2312" w:eastAsia="仿宋_GB2312"/>
          <w:sz w:val="18"/>
        </w:rPr>
        <w:t>—90</w:t>
      </w:r>
      <w:r>
        <w:rPr>
          <w:rFonts w:hint="eastAsia" w:ascii="仿宋_GB2312" w:eastAsia="仿宋_GB2312"/>
          <w:sz w:val="18"/>
        </w:rPr>
        <w:t>分（含</w:t>
      </w:r>
      <w:r>
        <w:rPr>
          <w:rFonts w:ascii="仿宋_GB2312" w:eastAsia="仿宋_GB2312"/>
          <w:sz w:val="18"/>
        </w:rPr>
        <w:t>80</w:t>
      </w:r>
      <w:r>
        <w:rPr>
          <w:rFonts w:hint="eastAsia" w:ascii="仿宋_GB2312" w:eastAsia="仿宋_GB2312"/>
          <w:sz w:val="18"/>
        </w:rPr>
        <w:t>分）；</w:t>
      </w:r>
      <w:bookmarkEnd w:id="1"/>
      <w:bookmarkEnd w:id="2"/>
      <w:r>
        <w:rPr>
          <w:rFonts w:hint="eastAsia" w:ascii="仿宋_GB2312" w:eastAsia="仿宋_GB2312"/>
          <w:sz w:val="18"/>
        </w:rPr>
        <w:t>一般：得分</w:t>
      </w:r>
      <w:r>
        <w:rPr>
          <w:rFonts w:ascii="仿宋_GB2312" w:eastAsia="仿宋_GB2312"/>
          <w:sz w:val="18"/>
        </w:rPr>
        <w:t>70</w:t>
      </w:r>
      <w:r>
        <w:rPr>
          <w:rFonts w:hint="eastAsia" w:ascii="仿宋_GB2312" w:eastAsia="仿宋_GB2312"/>
          <w:sz w:val="18"/>
        </w:rPr>
        <w:t>分</w:t>
      </w:r>
      <w:r>
        <w:rPr>
          <w:rFonts w:ascii="仿宋_GB2312" w:eastAsia="仿宋_GB2312"/>
          <w:sz w:val="18"/>
        </w:rPr>
        <w:t>—80</w:t>
      </w:r>
      <w:r>
        <w:rPr>
          <w:rFonts w:hint="eastAsia" w:ascii="仿宋_GB2312" w:eastAsia="仿宋_GB2312"/>
          <w:sz w:val="18"/>
        </w:rPr>
        <w:t>分（含</w:t>
      </w:r>
      <w:r>
        <w:rPr>
          <w:rFonts w:ascii="仿宋_GB2312" w:eastAsia="仿宋_GB2312"/>
          <w:sz w:val="18"/>
        </w:rPr>
        <w:t>70</w:t>
      </w:r>
      <w:r>
        <w:rPr>
          <w:rFonts w:hint="eastAsia" w:ascii="仿宋_GB2312" w:eastAsia="仿宋_GB2312"/>
          <w:sz w:val="18"/>
        </w:rPr>
        <w:t>分</w:t>
      </w:r>
      <w:r>
        <w:rPr>
          <w:rFonts w:ascii="仿宋_GB2312" w:eastAsia="仿宋_GB2312"/>
          <w:sz w:val="18"/>
        </w:rPr>
        <w:t>)</w:t>
      </w:r>
      <w:r>
        <w:rPr>
          <w:rFonts w:hint="eastAsia" w:ascii="仿宋_GB2312" w:eastAsia="仿宋_GB2312"/>
          <w:sz w:val="18"/>
        </w:rPr>
        <w:t>；较差：得分</w:t>
      </w:r>
      <w:r>
        <w:rPr>
          <w:rFonts w:ascii="仿宋_GB2312" w:eastAsia="仿宋_GB2312"/>
          <w:sz w:val="18"/>
        </w:rPr>
        <w:t>60</w:t>
      </w:r>
      <w:r>
        <w:rPr>
          <w:rFonts w:hint="eastAsia" w:ascii="仿宋_GB2312" w:eastAsia="仿宋_GB2312"/>
          <w:sz w:val="18"/>
        </w:rPr>
        <w:t>分</w:t>
      </w:r>
      <w:r>
        <w:rPr>
          <w:rFonts w:ascii="仿宋_GB2312" w:eastAsia="仿宋_GB2312"/>
          <w:sz w:val="18"/>
        </w:rPr>
        <w:t>—70</w:t>
      </w:r>
      <w:r>
        <w:rPr>
          <w:rFonts w:hint="eastAsia" w:ascii="仿宋_GB2312" w:eastAsia="仿宋_GB2312"/>
          <w:sz w:val="18"/>
        </w:rPr>
        <w:t>分（含</w:t>
      </w:r>
      <w:r>
        <w:rPr>
          <w:rFonts w:ascii="仿宋_GB2312" w:eastAsia="仿宋_GB2312"/>
          <w:sz w:val="18"/>
        </w:rPr>
        <w:t>60</w:t>
      </w:r>
      <w:r>
        <w:rPr>
          <w:rFonts w:hint="eastAsia" w:ascii="仿宋_GB2312" w:eastAsia="仿宋_GB2312"/>
          <w:sz w:val="18"/>
        </w:rPr>
        <w:t>分</w:t>
      </w:r>
      <w:r>
        <w:rPr>
          <w:rFonts w:ascii="仿宋_GB2312" w:eastAsia="仿宋_GB2312"/>
          <w:sz w:val="18"/>
        </w:rPr>
        <w:t>)</w:t>
      </w:r>
      <w:r>
        <w:rPr>
          <w:rFonts w:hint="eastAsia" w:ascii="仿宋_GB2312" w:eastAsia="仿宋_GB2312"/>
          <w:sz w:val="18"/>
        </w:rPr>
        <w:t>；差：得分</w:t>
      </w:r>
      <w:r>
        <w:rPr>
          <w:rFonts w:ascii="仿宋_GB2312" w:eastAsia="仿宋_GB2312"/>
          <w:sz w:val="18"/>
        </w:rPr>
        <w:t>60</w:t>
      </w:r>
      <w:r>
        <w:rPr>
          <w:rFonts w:hint="eastAsia" w:ascii="仿宋_GB2312" w:eastAsia="仿宋_GB2312"/>
          <w:sz w:val="18"/>
        </w:rPr>
        <w:t>分以下。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7130"/>
    <w:multiLevelType w:val="singleLevel"/>
    <w:tmpl w:val="82927130"/>
    <w:lvl w:ilvl="0" w:tentative="0">
      <w:start w:val="2"/>
      <w:numFmt w:val="chineseCounting"/>
      <w:suff w:val="nothing"/>
      <w:lvlText w:val="（%1）"/>
      <w:lvlJc w:val="left"/>
      <w:rPr>
        <w:rFonts w:hint="eastAsia"/>
      </w:rPr>
    </w:lvl>
  </w:abstractNum>
  <w:abstractNum w:abstractNumId="1">
    <w:nsid w:val="D2DE2F46"/>
    <w:multiLevelType w:val="singleLevel"/>
    <w:tmpl w:val="D2DE2F46"/>
    <w:lvl w:ilvl="0" w:tentative="0">
      <w:start w:val="2"/>
      <w:numFmt w:val="decimal"/>
      <w:suff w:val="space"/>
      <w:lvlText w:val="%1."/>
      <w:lvlJc w:val="left"/>
    </w:lvl>
  </w:abstractNum>
  <w:abstractNum w:abstractNumId="2">
    <w:nsid w:val="F177B04F"/>
    <w:multiLevelType w:val="singleLevel"/>
    <w:tmpl w:val="F177B04F"/>
    <w:lvl w:ilvl="0" w:tentative="0">
      <w:start w:val="2"/>
      <w:numFmt w:val="decimal"/>
      <w:suff w:val="space"/>
      <w:lvlText w:val="%1."/>
      <w:lvlJc w:val="left"/>
    </w:lvl>
  </w:abstractNum>
  <w:abstractNum w:abstractNumId="3">
    <w:nsid w:val="FDF2B148"/>
    <w:multiLevelType w:val="singleLevel"/>
    <w:tmpl w:val="FDF2B148"/>
    <w:lvl w:ilvl="0" w:tentative="0">
      <w:start w:val="3"/>
      <w:numFmt w:val="chineseCounting"/>
      <w:suff w:val="nothing"/>
      <w:lvlText w:val="%1、"/>
      <w:lvlJc w:val="left"/>
      <w:rPr>
        <w:rFonts w:hint="eastAsia"/>
      </w:rPr>
    </w:lvl>
  </w:abstractNum>
  <w:abstractNum w:abstractNumId="4">
    <w:nsid w:val="57054D04"/>
    <w:multiLevelType w:val="singleLevel"/>
    <w:tmpl w:val="57054D04"/>
    <w:lvl w:ilvl="0" w:tentative="0">
      <w:start w:val="1"/>
      <w:numFmt w:val="decimal"/>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2"/>
    <w:footnote w:id="3"/>
  </w:foot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zgzMTc2NjI5NWViMzk3Mjg3YTY5MDBlMDk2YTUifQ=="/>
  </w:docVars>
  <w:rsids>
    <w:rsidRoot w:val="006A0286"/>
    <w:rsid w:val="0000186F"/>
    <w:rsid w:val="00027842"/>
    <w:rsid w:val="000F0010"/>
    <w:rsid w:val="001034E4"/>
    <w:rsid w:val="001076FD"/>
    <w:rsid w:val="00112A3C"/>
    <w:rsid w:val="0012335B"/>
    <w:rsid w:val="001D43CE"/>
    <w:rsid w:val="001E1F08"/>
    <w:rsid w:val="001F5652"/>
    <w:rsid w:val="002034C4"/>
    <w:rsid w:val="00223670"/>
    <w:rsid w:val="002F39B9"/>
    <w:rsid w:val="00317F35"/>
    <w:rsid w:val="00372535"/>
    <w:rsid w:val="003D4D43"/>
    <w:rsid w:val="00412A90"/>
    <w:rsid w:val="00427AA3"/>
    <w:rsid w:val="00453872"/>
    <w:rsid w:val="00485FCA"/>
    <w:rsid w:val="00496584"/>
    <w:rsid w:val="004B1555"/>
    <w:rsid w:val="004E3E98"/>
    <w:rsid w:val="004F2889"/>
    <w:rsid w:val="00541FD2"/>
    <w:rsid w:val="0055497B"/>
    <w:rsid w:val="005771BB"/>
    <w:rsid w:val="0058181F"/>
    <w:rsid w:val="005C5968"/>
    <w:rsid w:val="005D094F"/>
    <w:rsid w:val="005D61F8"/>
    <w:rsid w:val="006032DC"/>
    <w:rsid w:val="00634AF4"/>
    <w:rsid w:val="006A0286"/>
    <w:rsid w:val="006F1257"/>
    <w:rsid w:val="006F2AB8"/>
    <w:rsid w:val="00705B52"/>
    <w:rsid w:val="0072674E"/>
    <w:rsid w:val="007416BA"/>
    <w:rsid w:val="0075652D"/>
    <w:rsid w:val="00784065"/>
    <w:rsid w:val="007A754E"/>
    <w:rsid w:val="00830C91"/>
    <w:rsid w:val="008C735A"/>
    <w:rsid w:val="008D7527"/>
    <w:rsid w:val="008F6FC9"/>
    <w:rsid w:val="00926E98"/>
    <w:rsid w:val="0095504B"/>
    <w:rsid w:val="009B2D68"/>
    <w:rsid w:val="00A14DE2"/>
    <w:rsid w:val="00A72387"/>
    <w:rsid w:val="00A863A2"/>
    <w:rsid w:val="00AA24DC"/>
    <w:rsid w:val="00AC5CC2"/>
    <w:rsid w:val="00AC69E3"/>
    <w:rsid w:val="00AF5658"/>
    <w:rsid w:val="00B14C89"/>
    <w:rsid w:val="00B33955"/>
    <w:rsid w:val="00BD1F01"/>
    <w:rsid w:val="00CB64D3"/>
    <w:rsid w:val="00D0015F"/>
    <w:rsid w:val="00D16184"/>
    <w:rsid w:val="00D20830"/>
    <w:rsid w:val="00D71C46"/>
    <w:rsid w:val="00D855DD"/>
    <w:rsid w:val="00D85F96"/>
    <w:rsid w:val="00DE067D"/>
    <w:rsid w:val="00DF053C"/>
    <w:rsid w:val="00E1011A"/>
    <w:rsid w:val="00E70A55"/>
    <w:rsid w:val="00EB03FD"/>
    <w:rsid w:val="00ED06B2"/>
    <w:rsid w:val="00EF65E3"/>
    <w:rsid w:val="00F161C4"/>
    <w:rsid w:val="00F35A70"/>
    <w:rsid w:val="00F4202D"/>
    <w:rsid w:val="00FB5E7E"/>
    <w:rsid w:val="00FC405A"/>
    <w:rsid w:val="00FC7877"/>
    <w:rsid w:val="015676BF"/>
    <w:rsid w:val="053B4A99"/>
    <w:rsid w:val="0B4004AE"/>
    <w:rsid w:val="0D9667BA"/>
    <w:rsid w:val="0DC71BA8"/>
    <w:rsid w:val="0E6D542B"/>
    <w:rsid w:val="15093E89"/>
    <w:rsid w:val="15FB104B"/>
    <w:rsid w:val="18824929"/>
    <w:rsid w:val="19412772"/>
    <w:rsid w:val="20447663"/>
    <w:rsid w:val="229C52B1"/>
    <w:rsid w:val="22DA0171"/>
    <w:rsid w:val="23497341"/>
    <w:rsid w:val="234A0ECE"/>
    <w:rsid w:val="242168EE"/>
    <w:rsid w:val="2B65068C"/>
    <w:rsid w:val="331217FF"/>
    <w:rsid w:val="37CD349D"/>
    <w:rsid w:val="39496248"/>
    <w:rsid w:val="3C0E4016"/>
    <w:rsid w:val="3F0C5FEC"/>
    <w:rsid w:val="41E850F3"/>
    <w:rsid w:val="423408C5"/>
    <w:rsid w:val="44FD333B"/>
    <w:rsid w:val="476243C1"/>
    <w:rsid w:val="4B2A6470"/>
    <w:rsid w:val="4E2B2AA3"/>
    <w:rsid w:val="5364329B"/>
    <w:rsid w:val="5C4E1BEB"/>
    <w:rsid w:val="63CC1360"/>
    <w:rsid w:val="6B7C455F"/>
    <w:rsid w:val="6E6344E5"/>
    <w:rsid w:val="72B621C4"/>
    <w:rsid w:val="77CD54BD"/>
    <w:rsid w:val="7BBD72C7"/>
    <w:rsid w:val="7E4D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100"/>
      <w:outlineLvl w:val="0"/>
    </w:pPr>
    <w:rPr>
      <w:rFonts w:ascii="宋体" w:hAnsi="宋体" w:eastAsia="宋体"/>
      <w:sz w:val="36"/>
      <w:szCs w:val="36"/>
    </w:rPr>
  </w:style>
  <w:style w:type="paragraph" w:styleId="3">
    <w:name w:val="heading 2"/>
    <w:basedOn w:val="1"/>
    <w:next w:val="1"/>
    <w:qFormat/>
    <w:uiPriority w:val="1"/>
    <w:pPr>
      <w:ind w:left="-21" w:firstLine="2592"/>
      <w:outlineLvl w:val="1"/>
    </w:pPr>
    <w:rPr>
      <w:rFonts w:ascii="宋体" w:hAnsi="宋体" w:eastAsia="宋体"/>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style>
  <w:style w:type="paragraph" w:styleId="5">
    <w:name w:val="Body Text"/>
    <w:basedOn w:val="1"/>
    <w:qFormat/>
    <w:uiPriority w:val="1"/>
    <w:pPr>
      <w:spacing w:before="207"/>
      <w:ind w:left="120"/>
    </w:pPr>
    <w:rPr>
      <w:rFonts w:ascii="宋体" w:hAnsi="宋体" w:eastAsia="宋体"/>
      <w:sz w:val="30"/>
      <w:szCs w:val="30"/>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footnote reference"/>
    <w:qFormat/>
    <w:uiPriority w:val="0"/>
    <w:rPr>
      <w:vertAlign w:val="superscript"/>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paragraph" w:customStyle="1" w:styleId="17">
    <w:name w:val="Default"/>
    <w:qFormat/>
    <w:uiPriority w:val="0"/>
    <w:pPr>
      <w:widowControl w:val="0"/>
      <w:autoSpaceDE w:val="0"/>
      <w:autoSpaceDN w:val="0"/>
      <w:adjustRightInd w:val="0"/>
    </w:pPr>
    <w:rPr>
      <w:rFonts w:ascii="方正黑体_GBK" w:hAnsi="方正黑体_GBK" w:cs="方正黑体_GBK" w:eastAsiaTheme="minorEastAsia"/>
      <w:color w:val="000000"/>
      <w:sz w:val="24"/>
      <w:szCs w:val="24"/>
      <w:lang w:val="en-US" w:eastAsia="en-US" w:bidi="ar-SA"/>
    </w:rPr>
  </w:style>
  <w:style w:type="character" w:customStyle="1" w:styleId="18">
    <w:name w:val="页眉 Char"/>
    <w:basedOn w:val="11"/>
    <w:link w:val="7"/>
    <w:qFormat/>
    <w:uiPriority w:val="99"/>
    <w:rPr>
      <w:sz w:val="18"/>
      <w:szCs w:val="18"/>
    </w:rPr>
  </w:style>
  <w:style w:type="character" w:customStyle="1" w:styleId="19">
    <w:name w:val="页脚 Char"/>
    <w:basedOn w:val="11"/>
    <w:link w:val="6"/>
    <w:qFormat/>
    <w:uiPriority w:val="99"/>
    <w:rPr>
      <w:sz w:val="18"/>
      <w:szCs w:val="18"/>
    </w:rPr>
  </w:style>
  <w:style w:type="paragraph" w:customStyle="1" w:styleId="20">
    <w:name w:val="NormalIndent"/>
    <w:basedOn w:val="1"/>
    <w:qFormat/>
    <w:uiPriority w:val="0"/>
    <w:pPr>
      <w:ind w:firstLine="420"/>
      <w:textAlignment w:val="baseline"/>
    </w:pPr>
    <w:rPr>
      <w:rFonts w:ascii="Times New Roman" w:hAnsi="Times New Roman"/>
      <w:szCs w:val="20"/>
    </w:rPr>
  </w:style>
  <w:style w:type="paragraph" w:customStyle="1" w:styleId="21">
    <w:name w:val="闻政正文"/>
    <w:basedOn w:val="1"/>
    <w:qFormat/>
    <w:uiPriority w:val="0"/>
    <w:pPr>
      <w:spacing w:line="500" w:lineRule="exact"/>
      <w:ind w:firstLine="560" w:firstLineChars="200"/>
      <w:jc w:val="both"/>
    </w:pPr>
    <w:rPr>
      <w:rFonts w:ascii="Times New Roman" w:hAnsi="Times New Roman" w:eastAsia="仿宋" w:cs="Times New Roman"/>
      <w:sz w:val="28"/>
      <w:szCs w:val="20"/>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4462</Words>
  <Characters>4637</Characters>
  <Lines>29</Lines>
  <Paragraphs>8</Paragraphs>
  <TotalTime>1</TotalTime>
  <ScaleCrop>false</ScaleCrop>
  <LinksUpToDate>false</LinksUpToDate>
  <CharactersWithSpaces>4687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2021-08-19T09:37:00Z</dcterms:created>
  <dc:creator>张肖军(拟稿)</dc:creator>
  <cp:lastModifiedBy>吴雨恬</cp:lastModifiedBy>
  <dcterms:modified xsi:type="dcterms:W3CDTF">2026-04-23T02:38:36Z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Adobe Acrobat Pro 11.0.7</vt:lpwstr>
  </property>
  <property fmtid="{D5CDD505-2E9C-101B-9397-08002B2CF9AE}" pid="4" name="LastSaved">
    <vt:filetime>2021-08-19T00:00:00Z</vt:filetime>
  </property>
  <property fmtid="{D5CDD505-2E9C-101B-9397-08002B2CF9AE}" pid="5" name="KSOProductBuildVer">
    <vt:lpwstr>2052-12.1.0.24034</vt:lpwstr>
  </property>
  <property fmtid="{D5CDD505-2E9C-101B-9397-08002B2CF9AE}" pid="6" name="ICV">
    <vt:lpwstr>A9D82E0EC1534681A26880C41305CCD7_13</vt:lpwstr>
  </property>
  <property fmtid="{D5CDD505-2E9C-101B-9397-08002B2CF9AE}" pid="7" name="KSOTemplateDocerSaveRecord">
    <vt:lpwstr>eyJoZGlkIjoiYTI3MTM4YmQ0YTNlMjYzMDUzMzc0MjNlNjUzMTUzNTEiLCJ1c2VySWQiOiIxNjQwNTgwOTY1In0=</vt:lpwstr>
  </property>
</Properties>
</file>