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napToGrid w:val="0"/>
        <w:spacing w:line="560" w:lineRule="exact"/>
        <w:ind w:left="-14"/>
        <w:jc w:val="center"/>
        <w:rPr>
          <w:rFonts w:eastAsia="仿宋_GB2312" w:hint="eastAsia"/>
          <w:sz w:val="32"/>
        </w:rPr>
      </w:pPr>
      <w:bookmarkStart w:id="0" w:name="_GoBack"/>
      <w:bookmarkEnd w:id="0"/>
    </w:p>
    <w:tbl>
      <w:tblPr>
        <w:tblpPr w:leftFromText="180" w:rightFromText="180" w:vertAnchor="text" w:horzAnchor="page" w:tblpX="8776" w:tblpY="735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</w:tblGrid>
      <w:tr>
        <w:tc>
          <w:tcPr>
            <w:tcW w:w="2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ind w:leftChars="-20" w:left="-42"/>
              <w:jc w:val="center"/>
              <w:rPr>
                <w:b/>
                <w:color w:val="FF0000"/>
                <w:sz w:val="84"/>
                <w:szCs w:val="84"/>
              </w:rPr>
            </w:pPr>
            <w:r>
              <w:rPr>
                <w:rFonts w:hint="eastAsia"/>
                <w:b/>
                <w:color w:val="FF0000"/>
                <w:sz w:val="84"/>
                <w:szCs w:val="84"/>
              </w:rPr>
              <w:t>文件</w:t>
            </w:r>
          </w:p>
        </w:tc>
      </w:tr>
    </w:tbl>
    <w:p>
      <w:pPr>
        <w:ind w:rightChars="910" w:right="1911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南京市交通运输局</w:t>
      </w:r>
    </w:p>
    <w:p>
      <w:pPr>
        <w:ind w:rightChars="910" w:right="1911"/>
        <w:jc w:val="distribute"/>
        <w:rPr>
          <w:rFonts w:hint="eastAsia"/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</w:t>
      </w:r>
      <w:r>
        <w:rPr>
          <w:b/>
          <w:color w:val="FF0000"/>
          <w:sz w:val="84"/>
          <w:szCs w:val="84"/>
        </w:rPr>
        <w:t>财政</w:t>
      </w:r>
      <w:r>
        <w:rPr>
          <w:rFonts w:hint="eastAsia"/>
          <w:b/>
          <w:color w:val="FF0000"/>
          <w:sz w:val="84"/>
          <w:szCs w:val="84"/>
        </w:rPr>
        <w:t>局</w:t>
      </w:r>
    </w:p>
    <w:p>
      <w:pPr>
        <w:snapToGrid w:val="0"/>
        <w:spacing w:line="560" w:lineRule="exact"/>
        <w:ind w:left="-14"/>
        <w:jc w:val="center"/>
        <w:rPr>
          <w:rFonts w:eastAsia="仿宋_GB2312" w:hint="eastAsia"/>
          <w:sz w:val="32"/>
        </w:rPr>
      </w:pPr>
    </w:p>
    <w:p>
      <w:pPr>
        <w:snapToGrid w:val="0"/>
        <w:spacing w:line="400" w:lineRule="exact"/>
        <w:jc w:val="center"/>
        <w:rPr>
          <w:rFonts w:eastAsia="仿宋_GB2312" w:hint="eastAsia"/>
          <w:sz w:val="32"/>
        </w:rPr>
      </w:pPr>
    </w:p>
    <w:p>
      <w:pPr>
        <w:jc w:val="center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宁交</w:t>
      </w:r>
      <w:r>
        <w:rPr>
          <w:rFonts w:eastAsia="仿宋_GB2312"/>
          <w:sz w:val="32"/>
          <w:szCs w:val="32"/>
        </w:rPr>
        <w:t>港建</w:t>
      </w:r>
      <w:r>
        <w:rPr>
          <w:rFonts w:eastAsia="仿宋_GB2312" w:hint="eastAsia"/>
          <w:color w:val="000000"/>
          <w:sz w:val="32"/>
          <w:szCs w:val="32"/>
        </w:rPr>
        <w:t>〔202</w:t>
      </w: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249</w:t>
      </w:r>
      <w:r>
        <w:rPr>
          <w:rFonts w:eastAsia="仿宋_GB2312" w:hint="eastAsia"/>
          <w:color w:val="000000"/>
          <w:sz w:val="32"/>
          <w:szCs w:val="32"/>
        </w:rPr>
        <w:t>号</w:t>
      </w:r>
    </w:p>
    <w:p>
      <w:pPr>
        <w:spacing w:line="560" w:lineRule="exact"/>
        <w:jc w:val="center"/>
        <w:rPr>
          <w:rFonts w:eastAsia="仿宋_GB2312" w:hint="eastAsia"/>
          <w:sz w:val="32"/>
        </w:rPr>
      </w:pPr>
      <w:r>
        <w:rPr>
          <w:rFonts w:eastAsia="仿宋_GB2312" w:hint="eastAsia"/>
          <w:lang w:val="en-US" w:eastAsia="zh-CN"/>
        </w:rPr>
        <mc:AlternateContent>
          <mc:Choice Requires="wps">
            <w:drawing>
              <wp:anchor distT="0" distB="0" distL="114298" distR="114298" simplePos="0" relativeHeight="12" behindDoc="0" locked="0" layoutInCell="1" hidden="0" allowOverlap="1">
                <wp:simplePos x="0" y="0"/>
                <wp:positionH relativeFrom="column">
                  <wp:posOffset>64769</wp:posOffset>
                </wp:positionH>
                <wp:positionV relativeFrom="paragraph">
                  <wp:posOffset>223548</wp:posOffset>
                </wp:positionV>
                <wp:extent cx="5615940" cy="0"/>
                <wp:effectExtent l="0" t="0" r="0" b="0"/>
                <wp:wrapNone/>
                <wp:docPr id="1" name="直线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615940" cy="0"/>
                        </a:xfrm>
                        <a:prstGeom prst="line"/>
                        <a:noFill/>
                        <a:ln w="9525" cmpd="sng" cap="flat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type="#_x0000_t20" id="直线 2" o:spid="_x0000_s2" from="5.0999246pt,17.602232pt" to="447.29993pt,17.602232pt" filled="f" stroked="t" style="position:absolute;z-index:12;mso-position-horizontal:absolute;mso-position-vertical:absolute;mso-wrap-distance-left:8.999843pt;mso-wrap-distance-right:8.999843pt;visibility:visible;">
                <v:stroke color="#FF0000"/>
              </v:line>
            </w:pict>
          </mc:Fallback>
        </mc:AlternateContent>
      </w:r>
    </w:p>
    <w:p>
      <w:pPr>
        <w:snapToGrid w:val="0"/>
        <w:spacing w:line="560" w:lineRule="exact"/>
        <w:jc w:val="center"/>
        <w:rPr>
          <w:rFonts w:eastAsia="仿宋_GB2312" w:hint="eastAsia"/>
          <w:sz w:val="32"/>
        </w:rPr>
      </w:pPr>
    </w:p>
    <w:p>
      <w:pPr>
        <w:spacing w:line="560" w:lineRule="exact"/>
        <w:jc w:val="center"/>
        <w:rPr>
          <w:rFonts w:eastAsia="方正小标宋简体" w:hint="eastAsia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关于下达港口物流专项202</w:t>
      </w:r>
      <w:r>
        <w:rPr>
          <w:rFonts w:eastAsia="方正小标宋简体" w:hint="eastAsia"/>
          <w:sz w:val="44"/>
          <w:szCs w:val="44"/>
          <w:lang w:val="en-US" w:eastAsia="zh-CN"/>
        </w:rPr>
        <w:t>5</w:t>
      </w:r>
      <w:r>
        <w:rPr>
          <w:rFonts w:eastAsia="方正小标宋简体" w:hint="eastAsia"/>
          <w:sz w:val="44"/>
          <w:szCs w:val="44"/>
        </w:rPr>
        <w:t>年第</w:t>
      </w:r>
      <w:r>
        <w:rPr>
          <w:rFonts w:eastAsia="方正小标宋简体" w:hint="eastAsia"/>
          <w:sz w:val="44"/>
          <w:szCs w:val="44"/>
          <w:lang w:val="en-US" w:eastAsia="zh-CN"/>
        </w:rPr>
        <w:t>二</w:t>
      </w:r>
      <w:r>
        <w:rPr>
          <w:rFonts w:eastAsia="方正小标宋简体" w:hint="eastAsia"/>
          <w:sz w:val="44"/>
          <w:szCs w:val="44"/>
        </w:rPr>
        <w:t>批</w:t>
      </w:r>
    </w:p>
    <w:p>
      <w:pPr>
        <w:spacing w:line="560" w:lineRule="exact"/>
        <w:jc w:val="center"/>
        <w:rPr>
          <w:rFonts w:eastAsia="方正小标宋简体" w:hint="eastAsia"/>
          <w:bCs/>
          <w:sz w:val="30"/>
          <w:szCs w:val="30"/>
        </w:rPr>
      </w:pPr>
      <w:r>
        <w:rPr>
          <w:rFonts w:eastAsia="方正小标宋简体" w:hint="eastAsia"/>
          <w:sz w:val="44"/>
          <w:szCs w:val="44"/>
        </w:rPr>
        <w:t>项目资金的通知</w:t>
      </w:r>
    </w:p>
    <w:p>
      <w:pPr>
        <w:spacing w:line="560" w:lineRule="exact"/>
        <w:jc w:val="center"/>
        <w:rPr>
          <w:rFonts w:eastAsia="黑体" w:hint="eastAsia"/>
          <w:bCs/>
          <w:sz w:val="44"/>
          <w:szCs w:val="44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南京航运交易中心、各有关单位：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</w:t>
      </w:r>
      <w:r>
        <w:rPr>
          <w:rFonts w:eastAsia="仿宋_GB2312"/>
          <w:sz w:val="32"/>
          <w:szCs w:val="32"/>
        </w:rPr>
        <w:t>《</w:t>
      </w:r>
      <w:r>
        <w:rPr>
          <w:rFonts w:eastAsia="仿宋_GB2312" w:hint="eastAsia"/>
          <w:sz w:val="32"/>
          <w:szCs w:val="32"/>
        </w:rPr>
        <w:t>关于印发支持港口物流发展的若干政策</w:t>
      </w:r>
      <w:r>
        <w:rPr>
          <w:rFonts w:eastAsia="仿宋_GB2312" w:hint="eastAsia"/>
          <w:sz w:val="32"/>
          <w:szCs w:val="32"/>
          <w:lang w:eastAsia="zh-CN"/>
        </w:rPr>
        <w:t>（</w:t>
      </w:r>
      <w:r>
        <w:rPr>
          <w:rFonts w:eastAsia="仿宋_GB2312" w:hint="eastAsia"/>
          <w:sz w:val="32"/>
          <w:szCs w:val="32"/>
        </w:rPr>
        <w:t>2024-2026年</w:t>
      </w:r>
      <w:r>
        <w:rPr>
          <w:rFonts w:eastAsia="仿宋_GB2312" w:hint="eastAsia"/>
          <w:sz w:val="32"/>
          <w:szCs w:val="32"/>
          <w:lang w:eastAsia="zh-CN"/>
        </w:rPr>
        <w:t>）</w:t>
      </w:r>
      <w:r>
        <w:rPr>
          <w:rFonts w:eastAsia="仿宋_GB2312" w:hint="eastAsia"/>
          <w:sz w:val="32"/>
          <w:szCs w:val="32"/>
        </w:rPr>
        <w:t>的通知</w:t>
      </w:r>
      <w:r>
        <w:rPr>
          <w:rFonts w:eastAsia="仿宋_GB2312"/>
          <w:sz w:val="32"/>
          <w:szCs w:val="32"/>
        </w:rPr>
        <w:t>》，经对各单位申报的202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  <w:lang w:val="en-US" w:eastAsia="zh-CN"/>
        </w:rPr>
        <w:t>1~8月</w:t>
      </w:r>
      <w:r>
        <w:rPr>
          <w:rFonts w:eastAsia="仿宋_GB2312"/>
          <w:sz w:val="32"/>
          <w:szCs w:val="32"/>
        </w:rPr>
        <w:t>近洋航线、内贸干线</w:t>
      </w:r>
      <w:r>
        <w:rPr>
          <w:rFonts w:eastAsia="仿宋_GB2312" w:hint="eastAsia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水水中转航线等项目审核、审计，现下达市级港口物流专项资金</w:t>
      </w:r>
      <w:r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 w:hint="eastAsia"/>
          <w:sz w:val="32"/>
          <w:szCs w:val="32"/>
        </w:rPr>
        <w:t>年第二批项目资金</w:t>
      </w:r>
      <w:r>
        <w:rPr>
          <w:rFonts w:eastAsia="仿宋_GB2312"/>
          <w:sz w:val="32"/>
          <w:szCs w:val="32"/>
        </w:rPr>
        <w:t>共</w:t>
      </w:r>
      <w:r>
        <w:rPr>
          <w:rFonts w:eastAsia="仿宋_GB2312" w:hint="eastAsia"/>
          <w:sz w:val="32"/>
          <w:szCs w:val="32"/>
        </w:rPr>
        <w:t>2578.294</w:t>
      </w:r>
      <w:r>
        <w:rPr>
          <w:rFonts w:eastAsia="仿宋_GB2312"/>
          <w:sz w:val="32"/>
          <w:szCs w:val="32"/>
        </w:rPr>
        <w:t>万元，具体通知如下：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（一）清算下达202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  <w:lang w:val="en-US" w:eastAsia="zh-CN"/>
        </w:rPr>
        <w:t>1~8月</w:t>
      </w:r>
      <w:r>
        <w:rPr>
          <w:rFonts w:eastAsia="仿宋_GB2312"/>
          <w:sz w:val="32"/>
          <w:szCs w:val="32"/>
        </w:rPr>
        <w:t>航线奖励项目</w:t>
      </w:r>
      <w:r>
        <w:rPr>
          <w:rFonts w:eastAsia="仿宋_GB2312" w:hint="eastAsia"/>
          <w:sz w:val="32"/>
          <w:szCs w:val="32"/>
        </w:rPr>
        <w:t>1084.944</w:t>
      </w:r>
      <w:r>
        <w:rPr>
          <w:rFonts w:eastAsia="仿宋_GB2312"/>
          <w:sz w:val="32"/>
          <w:szCs w:val="32"/>
        </w:rPr>
        <w:t>万元。</w:t>
      </w:r>
      <w:r>
        <w:rPr>
          <w:rFonts w:eastAsia="仿宋_GB2312" w:hint="eastAsia"/>
          <w:sz w:val="32"/>
          <w:szCs w:val="32"/>
          <w:lang w:val="en-US" w:eastAsia="zh-CN"/>
        </w:rPr>
        <w:t>包括：1~8月近洋航线奖励154.5万元（剩余360.5万元待清算）、内贸干线奖励214.8万元（剩余322.2万元待清算）、水水中转航线奖励715.644万元（剩余715.644万元待清算）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此次清算资金下达至南京航运交易中心，</w:t>
      </w:r>
      <w:r>
        <w:rPr>
          <w:rFonts w:eastAsia="仿宋_GB2312" w:hint="eastAsia"/>
          <w:sz w:val="32"/>
          <w:szCs w:val="32"/>
        </w:rPr>
        <w:t>中心</w:t>
      </w:r>
      <w:r>
        <w:rPr>
          <w:rFonts w:eastAsia="仿宋_GB2312"/>
          <w:sz w:val="32"/>
          <w:szCs w:val="32"/>
        </w:rPr>
        <w:t>应</w:t>
      </w:r>
      <w:r>
        <w:rPr>
          <w:rFonts w:eastAsia="仿宋_GB2312" w:hint="eastAsia"/>
          <w:sz w:val="32"/>
          <w:szCs w:val="32"/>
          <w:lang w:val="en-US" w:eastAsia="zh-CN"/>
        </w:rPr>
        <w:t>依据</w:t>
      </w:r>
      <w:r>
        <w:rPr>
          <w:rFonts w:eastAsia="仿宋_GB2312"/>
          <w:sz w:val="32"/>
          <w:szCs w:val="32"/>
        </w:rPr>
        <w:t>专项资金拨付管控机制，及时将奖励资金拨付至各相关单位。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（二）下达南京航运交易中心</w:t>
      </w:r>
      <w:r>
        <w:rPr>
          <w:rFonts w:eastAsia="仿宋_GB2312" w:hint="eastAsia"/>
          <w:sz w:val="32"/>
          <w:szCs w:val="32"/>
          <w:lang w:val="en-US" w:eastAsia="zh-CN"/>
        </w:rPr>
        <w:t>158.5</w:t>
      </w:r>
      <w:r>
        <w:rPr>
          <w:rFonts w:eastAsia="仿宋_GB2312"/>
          <w:sz w:val="32"/>
          <w:szCs w:val="32"/>
        </w:rPr>
        <w:t>万元，用于</w:t>
      </w:r>
      <w:r>
        <w:rPr>
          <w:rFonts w:eastAsia="仿宋_GB2312" w:hint="eastAsia"/>
          <w:sz w:val="32"/>
          <w:szCs w:val="32"/>
          <w:lang w:eastAsia="zh-CN"/>
        </w:rPr>
        <w:t>长江南京通信管理局船舶自动识别系统数据购买服务19万元、港口物流流量流向监测分析技术支持服务49.5万元、航运交易综合管理平台维护90万元。</w:t>
      </w:r>
    </w:p>
    <w:p>
      <w:pPr>
        <w:spacing w:line="560" w:lineRule="exact"/>
        <w:ind w:firstLineChars="200" w:firstLine="640"/>
        <w:rPr>
          <w:rFonts w:eastAsia="仿宋_GB2312" w:hint="eastAsia"/>
          <w:sz w:val="32"/>
          <w:szCs w:val="32"/>
          <w:lang w:val="en-US" w:eastAsia="zh-CN"/>
        </w:rPr>
      </w:pPr>
      <w:r>
        <w:rPr>
          <w:rFonts w:eastAsia="仿宋_GB2312" w:hint="eastAsia"/>
          <w:sz w:val="32"/>
          <w:szCs w:val="32"/>
          <w:lang w:eastAsia="zh-CN"/>
        </w:rPr>
        <w:t>（</w:t>
      </w:r>
      <w:r>
        <w:rPr>
          <w:rFonts w:eastAsia="仿宋_GB2312" w:hint="eastAsia"/>
          <w:sz w:val="32"/>
          <w:szCs w:val="32"/>
          <w:lang w:val="en-US" w:eastAsia="zh-CN"/>
        </w:rPr>
        <w:t>三）下达南京海事局182.07万元，用于保障南京市集装箱业务发展、促进南京港通航能力提升。</w:t>
      </w:r>
    </w:p>
    <w:p>
      <w:pPr>
        <w:spacing w:line="560" w:lineRule="exact"/>
        <w:ind w:firstLineChars="200" w:firstLine="640"/>
        <w:rPr>
          <w:rFonts w:eastAsia="仿宋_GB2312" w:hint="eastAsia"/>
          <w:sz w:val="32"/>
          <w:szCs w:val="32"/>
          <w:lang w:val="en-US" w:eastAsia="zh-CN"/>
        </w:rPr>
      </w:pPr>
      <w:r>
        <w:rPr>
          <w:rFonts w:eastAsia="仿宋_GB2312" w:hint="eastAsia"/>
          <w:sz w:val="32"/>
          <w:szCs w:val="32"/>
          <w:lang w:val="en-US" w:eastAsia="zh-CN"/>
        </w:rPr>
        <w:t>（四）下达南京港（集团）有限公司新生圩码头改建二期工程项目建设补助728.28万元。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  <w:lang w:val="en-US" w:eastAsia="zh-CN"/>
        </w:rPr>
      </w:pPr>
      <w:r>
        <w:rPr>
          <w:rFonts w:eastAsia="仿宋_GB2312" w:hint="eastAsia"/>
          <w:sz w:val="32"/>
          <w:szCs w:val="32"/>
          <w:lang w:val="en-US" w:eastAsia="zh-CN"/>
        </w:rPr>
        <w:t>（五）下达市交通运输局港口物流审计费24.5万元。</w:t>
      </w:r>
    </w:p>
    <w:p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请有关单位接到本通知后，及时办理资金拨付。严格按照《南京市港口物流发展专项资金管理办法》要求，规范资金使用管理，专款专用。</w:t>
      </w:r>
    </w:p>
    <w:p>
      <w:pPr>
        <w:spacing w:line="300" w:lineRule="exact"/>
        <w:ind w:firstLineChars="200" w:firstLine="640"/>
        <w:rPr>
          <w:rFonts w:eastAsia="仿宋_GB2312"/>
          <w:sz w:val="32"/>
          <w:szCs w:val="32"/>
        </w:rPr>
      </w:pPr>
    </w:p>
    <w:p>
      <w:pPr>
        <w:spacing w:line="560" w:lineRule="exact"/>
        <w:ind w:leftChars="304" w:left="2097" w:hangingChars="456" w:hanging="145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附件：1、202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年港口物流专项第</w:t>
      </w:r>
      <w:r>
        <w:rPr>
          <w:rFonts w:eastAsia="仿宋_GB2312" w:hint="eastAsia"/>
          <w:sz w:val="32"/>
          <w:szCs w:val="32"/>
          <w:lang w:val="en-US" w:eastAsia="zh-CN"/>
        </w:rPr>
        <w:t>二</w:t>
      </w:r>
      <w:r>
        <w:rPr>
          <w:rFonts w:eastAsia="仿宋_GB2312"/>
          <w:sz w:val="32"/>
          <w:szCs w:val="32"/>
        </w:rPr>
        <w:t>批项目拨付表</w:t>
      </w:r>
    </w:p>
    <w:p>
      <w:pPr>
        <w:spacing w:line="560" w:lineRule="exact"/>
        <w:ind w:leftChars="759" w:left="1594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港口物流专项</w:t>
      </w:r>
      <w:r>
        <w:rPr>
          <w:rFonts w:eastAsia="仿宋_GB2312" w:hint="eastAsia"/>
          <w:sz w:val="32"/>
          <w:szCs w:val="32"/>
          <w:lang w:val="en-US" w:eastAsia="zh-CN"/>
        </w:rPr>
        <w:t>第二批</w:t>
      </w:r>
      <w:r>
        <w:rPr>
          <w:rFonts w:eastAsia="仿宋_GB2312"/>
          <w:sz w:val="32"/>
          <w:szCs w:val="32"/>
        </w:rPr>
        <w:t>航线奖励明细</w:t>
      </w:r>
    </w:p>
    <w:p>
      <w:pPr>
        <w:spacing w:beforeLines="50" w:before="156" w:line="560" w:lineRule="exact"/>
        <w:rPr>
          <w:rFonts w:eastAsia="仿宋_GB2312" w:hint="eastAsia"/>
          <w:sz w:val="32"/>
          <w:szCs w:val="32"/>
        </w:rPr>
      </w:pPr>
    </w:p>
    <w:p>
      <w:pPr>
        <w:spacing w:line="560" w:lineRule="exact"/>
        <w:ind w:firstLineChars="500" w:firstLine="160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南京市交通运输局          南京市财政局</w:t>
      </w:r>
    </w:p>
    <w:p>
      <w:pPr>
        <w:spacing w:line="560" w:lineRule="exac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>
        <w:rPr>
          <w:rFonts w:eastAsia="仿宋_GB2312"/>
          <w:sz w:val="32"/>
          <w:szCs w:val="32"/>
        </w:rPr>
        <w:t xml:space="preserve">  202</w:t>
      </w:r>
      <w:r>
        <w:rPr>
          <w:rFonts w:eastAsia="仿宋_GB2312" w:hint="eastAsia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  <w:lang w:val="en-US" w:eastAsia="zh-CN"/>
        </w:rPr>
        <w:t>12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日</w:t>
      </w:r>
    </w:p>
    <w:tbl>
      <w:tblPr>
        <w:tblpPr w:leftFromText="180" w:rightFromText="180" w:vertAnchor="text" w:horzAnchor="page" w:tblpX="1676" w:tblpY="882"/>
        <w:tblOverlap w:val="never"/>
        <w:tblBorders>
          <w:top w:val="none" w:sz="0" w:space="0" w:color="auto"/>
          <w:left w:val="none" w:sz="0" w:space="0" w:color="auto"/>
          <w:bottom w:val="single" w:sz="8" w:space="0" w:color="000000"/>
          <w:right w:val="none" w:sz="0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rPr>
          <w:cantSplit/>
          <w:trHeight w:val="453"/>
        </w:trPr>
        <w:tc>
          <w:tcPr>
            <w:tcW w:w="88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  <w:tl2br w:val="nil"/>
              <w:tr2bl w:val="nil"/>
            </w:tcBorders>
          </w:tcPr>
          <w:p>
            <w:pPr>
              <w:autoSpaceDE w:val="0"/>
              <w:autoSpaceDN w:val="0"/>
              <w:spacing w:line="560" w:lineRule="atLeast"/>
              <w:jc w:val="lef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 南京市交通运输局办公室       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  202</w:t>
            </w:r>
            <w:r>
              <w:rPr>
                <w:rFonts w:eastAsia="仿宋_GB2312"/>
                <w:kern w:val="0"/>
                <w:sz w:val="28"/>
                <w:szCs w:val="28"/>
              </w:rPr>
              <w:t>5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>12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月</w:t>
            </w:r>
            <w:r>
              <w:rPr>
                <w:rFonts w:eastAsia="仿宋_GB2312"/>
                <w:kern w:val="0"/>
                <w:sz w:val="28"/>
                <w:szCs w:val="28"/>
              </w:rPr>
              <w:t>3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日印发</w:t>
            </w:r>
          </w:p>
        </w:tc>
      </w:tr>
    </w:tbl>
    <w:p>
      <w:pPr>
        <w:pStyle w:val="15"/>
        <w:snapToGrid w:val="0"/>
        <w:spacing w:line="400" w:lineRule="exact"/>
        <w:rPr>
          <w:rFonts w:ascii="Times New Roman" w:hAnsi="Times New Roman" w:hint="eastAsia"/>
        </w:rPr>
      </w:pPr>
    </w:p>
    <w:p>
      <w:pPr>
        <w:rPr>
          <w:rFonts w:hint="eastAsia"/>
        </w:rPr>
      </w:pPr>
    </w:p>
    <w:sectPr>
      <w:headerReference w:type="default" r:id="rId2"/>
      <w:headerReference w:type="even" r:id="rId3"/>
      <w:footerReference w:type="default" r:id="rId4"/>
      <w:footerReference w:type="even" r:id="rId5"/>
      <w:pgSz w:w="11907" w:h="16840"/>
      <w:pgMar w:top="2098" w:right="1474" w:bottom="1985" w:left="1588" w:header="851" w:footer="1418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0000000000000000000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framePr w:w="1683" w:hRule="auto" w:wrap="around" w:vAnchor="text" w:hAnchor="page" w:x="8729" w:y="3" w:anchorLock="0"/>
      <w:tabs>
        <w:tab w:val="center" w:pos="4153"/>
        <w:tab w:val="right" w:pos="8306"/>
      </w:tabs>
      <w:wordWrap w:val="0"/>
      <w:jc w:val="right"/>
      <w:rPr>
        <w:rStyle w:val="17"/>
        <w:rFonts w:hint="eastAsia"/>
        <w:sz w:val="28"/>
      </w:rPr>
    </w:pPr>
    <w:r>
      <w:rPr>
        <w:rStyle w:val="17"/>
        <w:rFonts w:hint="eastAsia"/>
        <w:sz w:val="28"/>
      </w:rPr>
      <w:t>—</w:t>
    </w:r>
    <w:r>
      <w:rPr>
        <w:rStyle w:val="17"/>
        <w:sz w:val="28"/>
      </w:rPr>
      <w:t xml:space="preserve"> </w:t>
    </w:r>
    <w:r>
      <w:rPr>
        <w:rStyle w:val="17"/>
        <w:sz w:val="28"/>
      </w:rPr>
      <w:fldChar w:fldCharType="begin"/>
    </w:r>
    <w:r>
      <w:rPr>
        <w:rStyle w:val="17"/>
        <w:sz w:val="28"/>
      </w:rPr>
      <w:instrText xml:space="preserve">PAGE  </w:instrText>
    </w:r>
    <w:r>
      <w:rPr>
        <w:rStyle w:val="17"/>
        <w:sz w:val="28"/>
      </w:rPr>
      <w:fldChar w:fldCharType="separate"/>
    </w:r>
    <w:r>
      <w:rPr>
        <w:rStyle w:val="17"/>
        <w:sz w:val="28"/>
        <w:lang w:val="en-US" w:eastAsia="zh-CN"/>
      </w:rPr>
      <w:t>2</w:t>
    </w:r>
    <w:r>
      <w:rPr>
        <w:rStyle w:val="17"/>
        <w:sz w:val="28"/>
      </w:rPr>
      <w:fldChar w:fldCharType="end"/>
    </w:r>
    <w:r>
      <w:rPr>
        <w:rStyle w:val="17"/>
        <w:sz w:val="28"/>
      </w:rPr>
      <w:t xml:space="preserve"> </w:t>
    </w:r>
    <w:r>
      <w:rPr>
        <w:rStyle w:val="17"/>
        <w:rFonts w:hint="eastAsia"/>
        <w:sz w:val="28"/>
      </w:rPr>
      <w:t xml:space="preserve">—  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7"/>
        <w:rFonts w:hint="eastAsia"/>
        <w:sz w:val="28"/>
      </w:rPr>
    </w:pPr>
    <w:r>
      <w:rPr>
        <w:rStyle w:val="17"/>
        <w:rFonts w:hint="eastAsia"/>
        <w:sz w:val="28"/>
      </w:rPr>
      <w:t xml:space="preserve">  —</w:t>
    </w:r>
    <w:r>
      <w:rPr>
        <w:rStyle w:val="17"/>
        <w:sz w:val="28"/>
      </w:rPr>
      <w:t xml:space="preserve"> </w:t>
    </w:r>
    <w:r>
      <w:rPr>
        <w:rStyle w:val="17"/>
        <w:sz w:val="28"/>
      </w:rPr>
      <w:fldChar w:fldCharType="begin"/>
    </w:r>
    <w:r>
      <w:rPr>
        <w:rStyle w:val="17"/>
        <w:sz w:val="28"/>
      </w:rPr>
      <w:instrText xml:space="preserve">PAGE  </w:instrText>
    </w:r>
    <w:r>
      <w:rPr>
        <w:rStyle w:val="17"/>
        <w:sz w:val="28"/>
      </w:rPr>
      <w:fldChar w:fldCharType="separate"/>
    </w:r>
    <w:r>
      <w:rPr>
        <w:rStyle w:val="17"/>
        <w:sz w:val="28"/>
        <w:lang w:val="en-US" w:eastAsia="zh-CN"/>
      </w:rPr>
      <w:t>2</w:t>
    </w:r>
    <w:r>
      <w:rPr>
        <w:rStyle w:val="17"/>
        <w:sz w:val="28"/>
      </w:rPr>
      <w:fldChar w:fldCharType="end"/>
    </w:r>
    <w:r>
      <w:rPr>
        <w:rStyle w:val="17"/>
        <w:sz w:val="28"/>
      </w:rPr>
      <w:t xml:space="preserve"> </w:t>
    </w:r>
    <w:r>
      <w:rPr>
        <w:rStyle w:val="17"/>
        <w:rFonts w:hint="eastAsia"/>
        <w:sz w:val="28"/>
      </w:rPr>
      <w:t>—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0"/>
  <w:bordersDoNotSurroundHeader/>
  <w:bordersDoNotSurroundFooter/>
  <w:defaultTabStop w:val="420"/>
  <w:evenAndOddHeaders/>
  <w:drawingGridHorizontalSpacing w:val="18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  <w:docVar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Date"/>
    <w:basedOn w:val="0"/>
    <w:next w:val="0"/>
    <w:rPr>
      <w:rFonts w:ascii="仿宋_GB2312" w:eastAsia="仿宋_GB2312"/>
      <w:sz w:val="32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7">
    <w:name w:val="page number"/>
    <w:basedOn w:val="10"/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bdr w:val="none" w:sz="0" w:space="0" w:color="auto"/>
    </w:rPr>
  </w:style>
  <w:style w:type="paragraph" w:styleId="19">
    <w:name w:val="Document Map"/>
    <w:basedOn w:val="0"/>
    <w:pPr>
      <w:shd w:val="clear" w:color="auto" w:fill="000080"/>
    </w:pPr>
  </w:style>
  <w:style w:type="paragraph" w:customStyle="1" w:styleId="20">
    <w:name w:val="Char Char Char Char"/>
    <w:basedOn w:val="19"/>
    <w:autoRedefine/>
    <w:rPr>
      <w:rFonts w:ascii="Tahoma" w:cs="Tahoma" w:hAnsi="Tahoma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mpd="sng" cap="flat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mpd="sng" cap="flat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>
  <Template>Normal.eit</Template>
  <TotalTime>14</TotalTime>
  <Application>Yozo_Office27021597764231179</Application>
  <Pages>2</Pages>
  <Words>624</Words>
  <Characters>733</Characters>
  <Lines>43</Lines>
  <Paragraphs>19</Paragraphs>
  <CharactersWithSpaces>797</CharactersWithSpaces>
  <Company>NJJT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文件</dc:title>
  <dc:creator>徐卫民</dc:creator>
  <cp:lastModifiedBy>刘泽阳</cp:lastModifiedBy>
  <cp:revision>7</cp:revision>
  <cp:lastPrinted>2025-12-02T09:20:14Z</cp:lastPrinted>
  <dcterms:created xsi:type="dcterms:W3CDTF">2017-01-04T02:28:00Z</dcterms:created>
  <dcterms:modified xsi:type="dcterms:W3CDTF">2025-12-03T08:40:08Z</dcterms:modified>
</cp:coreProperties>
</file>