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napToGrid w:val="0"/>
        <w:spacing w:line="560" w:lineRule="exact"/>
        <w:ind w:left="-14"/>
        <w:jc w:val="center"/>
        <w:rPr>
          <w:rFonts w:eastAsia="仿宋_GB2312" w:hint="eastAsia"/>
          <w:sz w:val="32"/>
        </w:rPr>
      </w:pPr>
    </w:p>
    <w:tbl>
      <w:tblPr>
        <w:tblpPr w:leftFromText="180" w:rightFromText="180" w:vertAnchor="text" w:horzAnchor="page" w:tblpX="8776" w:tblpY="735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</w:tblGrid>
      <w:tr>
        <w:tc>
          <w:tcPr>
            <w:tcW w:w="211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ind w:leftChars="-20" w:left="-42"/>
              <w:jc w:val="center"/>
              <w:rPr>
                <w:b/>
                <w:color w:val="FF0000"/>
                <w:sz w:val="84"/>
                <w:szCs w:val="84"/>
              </w:rPr>
            </w:pPr>
            <w:r>
              <w:rPr>
                <w:rFonts w:hint="eastAsia"/>
                <w:b/>
                <w:color w:val="FF0000"/>
                <w:sz w:val="84"/>
                <w:szCs w:val="84"/>
              </w:rPr>
              <w:t>文件</w:t>
            </w:r>
          </w:p>
        </w:tc>
      </w:tr>
    </w:tbl>
    <w:p>
      <w:pPr>
        <w:ind w:rightChars="910" w:right="1911"/>
        <w:jc w:val="distribute"/>
        <w:rPr>
          <w:rFonts w:hint="eastAsia"/>
          <w:b/>
          <w:color w:val="FF0000"/>
          <w:sz w:val="84"/>
          <w:szCs w:val="84"/>
        </w:rPr>
      </w:pPr>
      <w:r>
        <w:rPr>
          <w:rFonts w:hint="eastAsia"/>
          <w:b/>
          <w:color w:val="FF0000"/>
          <w:sz w:val="84"/>
          <w:szCs w:val="84"/>
        </w:rPr>
        <w:t>南京市交通运输局</w:t>
      </w:r>
    </w:p>
    <w:p>
      <w:pPr>
        <w:ind w:rightChars="910" w:right="1911"/>
        <w:jc w:val="distribute"/>
        <w:rPr>
          <w:rFonts w:hint="eastAsia"/>
          <w:b/>
          <w:color w:val="FF0000"/>
          <w:sz w:val="84"/>
          <w:szCs w:val="84"/>
        </w:rPr>
      </w:pPr>
      <w:r>
        <w:rPr>
          <w:rFonts w:hint="eastAsia"/>
          <w:b/>
          <w:color w:val="FF0000"/>
          <w:sz w:val="84"/>
          <w:szCs w:val="84"/>
        </w:rPr>
        <w:t>南京市</w:t>
      </w:r>
      <w:r>
        <w:rPr>
          <w:b/>
          <w:color w:val="FF0000"/>
          <w:sz w:val="84"/>
          <w:szCs w:val="84"/>
        </w:rPr>
        <w:t>财政</w:t>
      </w:r>
      <w:r>
        <w:rPr>
          <w:rFonts w:hint="eastAsia"/>
          <w:b/>
          <w:color w:val="FF0000"/>
          <w:sz w:val="84"/>
          <w:szCs w:val="84"/>
        </w:rPr>
        <w:t>局</w:t>
      </w:r>
    </w:p>
    <w:p>
      <w:pPr>
        <w:snapToGrid w:val="0"/>
        <w:spacing w:line="560" w:lineRule="exact"/>
        <w:ind w:left="-14"/>
        <w:jc w:val="center"/>
        <w:rPr>
          <w:rFonts w:eastAsia="仿宋_GB2312" w:hint="eastAsia"/>
          <w:sz w:val="32"/>
        </w:rPr>
      </w:pPr>
    </w:p>
    <w:p>
      <w:pPr>
        <w:snapToGrid w:val="0"/>
        <w:spacing w:line="400" w:lineRule="exact"/>
        <w:jc w:val="center"/>
        <w:rPr>
          <w:rFonts w:eastAsia="仿宋_GB2312" w:hint="eastAsia"/>
          <w:sz w:val="32"/>
        </w:rPr>
      </w:pPr>
    </w:p>
    <w:p>
      <w:pPr>
        <w:jc w:val="center"/>
        <w:rPr>
          <w:rFonts w:eastAsia="仿宋_GB2312" w:hint="eastAsia"/>
          <w:color w:val="000000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宁交</w:t>
      </w:r>
      <w:r>
        <w:rPr>
          <w:rFonts w:eastAsia="仿宋_GB2312"/>
          <w:sz w:val="32"/>
          <w:szCs w:val="32"/>
        </w:rPr>
        <w:t>港建</w:t>
      </w:r>
      <w:r>
        <w:rPr>
          <w:rFonts w:eastAsia="仿宋_GB2312" w:hint="eastAsia"/>
          <w:color w:val="000000"/>
          <w:sz w:val="32"/>
          <w:szCs w:val="32"/>
        </w:rPr>
        <w:t>〔202</w:t>
      </w:r>
      <w:r>
        <w:rPr>
          <w:rFonts w:eastAsia="仿宋_GB2312"/>
          <w:color w:val="000000"/>
          <w:sz w:val="32"/>
          <w:szCs w:val="32"/>
        </w:rPr>
        <w:t>5</w:t>
      </w:r>
      <w:r>
        <w:rPr>
          <w:rFonts w:eastAsia="仿宋_GB2312" w:hint="eastAsia"/>
          <w:color w:val="000000"/>
          <w:sz w:val="32"/>
          <w:szCs w:val="32"/>
        </w:rPr>
        <w:t>〕</w:t>
      </w:r>
      <w:r>
        <w:rPr>
          <w:rFonts w:eastAsia="仿宋_GB2312"/>
          <w:sz w:val="32"/>
          <w:szCs w:val="32"/>
        </w:rPr>
        <w:t>176</w:t>
      </w:r>
      <w:r>
        <w:rPr>
          <w:rFonts w:eastAsia="仿宋_GB2312" w:hint="eastAsia"/>
          <w:color w:val="000000"/>
          <w:sz w:val="32"/>
          <w:szCs w:val="32"/>
        </w:rPr>
        <w:t>号</w:t>
      </w:r>
    </w:p>
    <w:p>
      <w:pPr>
        <w:spacing w:line="560" w:lineRule="exact"/>
        <w:jc w:val="center"/>
        <w:rPr>
          <w:rFonts w:eastAsia="仿宋_GB2312" w:hint="eastAsia"/>
          <w:sz w:val="32"/>
        </w:rPr>
      </w:pPr>
      <w:r>
        <w:rPr>
          <w:rFonts w:eastAsia="仿宋_GB2312" w:hint="eastAsia"/>
          <w:lang w:val="en-US" w:eastAsia="zh-CN"/>
        </w:rPr>
        <mc:AlternateContent>
          <mc:Choice Requires="wps">
            <w:drawing>
              <wp:anchor distT="0" distB="0" distL="114298" distR="114298" simplePos="0" relativeHeight="12" behindDoc="0" locked="0" layoutInCell="1" hidden="0" allowOverlap="1">
                <wp:simplePos x="0" y="0"/>
                <wp:positionH relativeFrom="column">
                  <wp:posOffset>19049</wp:posOffset>
                </wp:positionH>
                <wp:positionV relativeFrom="paragraph">
                  <wp:posOffset>223567</wp:posOffset>
                </wp:positionV>
                <wp:extent cx="5615940" cy="0"/>
                <wp:effectExtent l="0" t="0" r="0" b="0"/>
                <wp:wrapNone/>
                <wp:docPr id="1" name="直线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615940" cy="0"/>
                        </a:xfrm>
                        <a:prstGeom prst="line"/>
                        <a:noFill/>
                        <a:ln w="9525" cmpd="sng" cap="flat">
                          <a:solidFill>
                            <a:srgbClr val="FF0000"/>
                          </a:solidFill>
                          <a:prstDash val="solid"/>
                          <a:miter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type="#_x0000_t20" id="直线 2" o:spid="_x0000_s2" from="1.4999771pt,17.603746pt" to="443.69998pt,17.603746pt" filled="f" stroked="t" style="position:absolute;z-index:12;mso-position-horizontal:absolute;mso-position-vertical:absolute;mso-wrap-distance-left:8.999843pt;mso-wrap-distance-right:8.999843pt;visibility:visible;">
                <v:stroke color="#FF0000"/>
              </v:line>
            </w:pict>
          </mc:Fallback>
        </mc:AlternateContent>
      </w:r>
    </w:p>
    <w:p>
      <w:pPr>
        <w:snapToGrid w:val="0"/>
        <w:spacing w:line="560" w:lineRule="exact"/>
        <w:jc w:val="center"/>
        <w:rPr>
          <w:rFonts w:eastAsia="仿宋_GB2312" w:hint="eastAsia"/>
          <w:sz w:val="32"/>
        </w:rPr>
      </w:pPr>
    </w:p>
    <w:p>
      <w:pPr>
        <w:spacing w:line="560" w:lineRule="exact"/>
        <w:jc w:val="center"/>
        <w:rPr>
          <w:rFonts w:eastAsia="方正小标宋简体" w:hint="eastAsia"/>
          <w:sz w:val="44"/>
          <w:szCs w:val="44"/>
        </w:rPr>
      </w:pPr>
      <w:r>
        <w:rPr>
          <w:rFonts w:eastAsia="方正小标宋简体" w:hint="eastAsia"/>
          <w:sz w:val="44"/>
          <w:szCs w:val="44"/>
        </w:rPr>
        <w:t>关于下达港口物流专项202</w:t>
      </w:r>
      <w:r>
        <w:rPr>
          <w:rFonts w:eastAsia="方正小标宋简体" w:hint="eastAsia"/>
          <w:sz w:val="44"/>
          <w:szCs w:val="44"/>
          <w:lang w:val="en-US" w:eastAsia="zh-CN"/>
        </w:rPr>
        <w:t>4</w:t>
      </w:r>
      <w:r>
        <w:rPr>
          <w:rFonts w:eastAsia="方正小标宋简体" w:hint="eastAsia"/>
          <w:sz w:val="44"/>
          <w:szCs w:val="44"/>
        </w:rPr>
        <w:t>年项目清算资金和202</w:t>
      </w:r>
      <w:r>
        <w:rPr>
          <w:rFonts w:eastAsia="方正小标宋简体" w:hint="eastAsia"/>
          <w:sz w:val="44"/>
          <w:szCs w:val="44"/>
          <w:lang w:val="en-US" w:eastAsia="zh-CN"/>
        </w:rPr>
        <w:t>5</w:t>
      </w:r>
      <w:r>
        <w:rPr>
          <w:rFonts w:eastAsia="方正小标宋简体" w:hint="eastAsia"/>
          <w:sz w:val="44"/>
          <w:szCs w:val="44"/>
        </w:rPr>
        <w:t>年第一批项目资金的通知</w:t>
      </w:r>
    </w:p>
    <w:p>
      <w:pPr>
        <w:spacing w:line="560" w:lineRule="exact"/>
      </w:pPr>
    </w:p>
    <w:p>
      <w:pPr>
        <w:spacing w:line="560" w:lineRule="exac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南京市交通运输发展中心</w:t>
      </w:r>
      <w:r>
        <w:rPr>
          <w:rFonts w:eastAsia="仿宋_GB2312"/>
          <w:sz w:val="32"/>
          <w:szCs w:val="32"/>
        </w:rPr>
        <w:t>、各有关单位：</w:t>
      </w:r>
    </w:p>
    <w:p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根据</w:t>
      </w:r>
      <w:r>
        <w:rPr>
          <w:rFonts w:eastAsia="仿宋_GB2312"/>
          <w:sz w:val="32"/>
          <w:szCs w:val="32"/>
        </w:rPr>
        <w:t>《南京市港口物流发展专项资金管理办法》，经对各单位申报的202</w:t>
      </w:r>
      <w:r>
        <w:rPr>
          <w:rFonts w:eastAsia="仿宋_GB2312" w:hint="eastAsia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年度国际航线、内贸干线、水水中转航线、航线支撑奖励等项目审核、审计，现下达市级港口物流专项资金202</w:t>
      </w:r>
      <w:r>
        <w:rPr>
          <w:rFonts w:eastAsia="仿宋_GB2312" w:hint="eastAsia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年项目清算</w:t>
      </w:r>
      <w:r>
        <w:rPr>
          <w:rFonts w:eastAsia="仿宋_GB2312" w:hint="eastAsia"/>
          <w:sz w:val="32"/>
          <w:szCs w:val="32"/>
        </w:rPr>
        <w:t>和</w:t>
      </w:r>
      <w:r>
        <w:rPr>
          <w:rFonts w:eastAsia="仿宋_GB2312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  <w:lang w:val="en-US" w:eastAsia="zh-CN"/>
        </w:rPr>
        <w:t>5</w:t>
      </w:r>
      <w:r>
        <w:rPr>
          <w:rFonts w:eastAsia="仿宋_GB2312"/>
          <w:sz w:val="32"/>
          <w:szCs w:val="32"/>
        </w:rPr>
        <w:t>年第一批项目资金共</w:t>
      </w:r>
      <w:r>
        <w:rPr>
          <w:rFonts w:eastAsia="仿宋_GB2312" w:hint="eastAsia"/>
          <w:sz w:val="32"/>
          <w:szCs w:val="32"/>
          <w:lang w:val="en-US" w:eastAsia="zh-CN"/>
        </w:rPr>
        <w:t>2859.1425</w:t>
      </w:r>
      <w:r>
        <w:rPr>
          <w:rFonts w:eastAsia="仿宋_GB2312"/>
          <w:sz w:val="32"/>
          <w:szCs w:val="32"/>
        </w:rPr>
        <w:t>万元，具体通知如下：</w:t>
      </w:r>
    </w:p>
    <w:p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（一）清算下达202</w:t>
      </w:r>
      <w:r>
        <w:rPr>
          <w:rFonts w:eastAsia="仿宋_GB2312" w:hint="eastAsia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年航线奖励项目</w:t>
      </w:r>
      <w:r>
        <w:rPr>
          <w:rFonts w:eastAsia="仿宋_GB2312" w:hint="eastAsia"/>
          <w:sz w:val="32"/>
          <w:szCs w:val="32"/>
          <w:lang w:val="en-US" w:eastAsia="zh-CN"/>
        </w:rPr>
        <w:t>2234.9425</w:t>
      </w:r>
      <w:r>
        <w:rPr>
          <w:rFonts w:eastAsia="仿宋_GB2312"/>
          <w:sz w:val="32"/>
          <w:szCs w:val="32"/>
        </w:rPr>
        <w:t>万元。</w:t>
      </w:r>
      <w:r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  <w:lang w:val="en-US" w:eastAsia="zh-CN"/>
        </w:rPr>
        <w:t>4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国际航线奖励、内贸干线奖励、水水中转航线奖励、生产贸易企业奖励等共应兑现</w:t>
      </w:r>
      <w:r>
        <w:rPr>
          <w:rFonts w:eastAsia="仿宋_GB2312" w:hint="eastAsia"/>
          <w:sz w:val="32"/>
          <w:szCs w:val="32"/>
          <w:lang w:val="en-US" w:eastAsia="zh-CN"/>
        </w:rPr>
        <w:t>5488.8225</w:t>
      </w:r>
      <w:r>
        <w:rPr>
          <w:rFonts w:eastAsia="仿宋_GB2312"/>
          <w:sz w:val="32"/>
          <w:szCs w:val="32"/>
        </w:rPr>
        <w:t>万元（详见附件1），</w:t>
      </w:r>
      <w:r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  <w:lang w:val="en-US" w:eastAsia="zh-CN"/>
        </w:rPr>
        <w:t>4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已下达</w:t>
      </w:r>
      <w:r>
        <w:rPr>
          <w:rFonts w:eastAsia="仿宋_GB2312" w:hint="eastAsia"/>
          <w:sz w:val="32"/>
          <w:szCs w:val="32"/>
          <w:lang w:val="en-US" w:eastAsia="zh-CN"/>
        </w:rPr>
        <w:t>3253.88</w:t>
      </w:r>
      <w:r>
        <w:rPr>
          <w:rFonts w:eastAsia="仿宋_GB2312" w:hint="eastAsia"/>
          <w:sz w:val="32"/>
          <w:szCs w:val="32"/>
        </w:rPr>
        <w:t>万元。</w:t>
      </w:r>
      <w:r>
        <w:rPr>
          <w:rFonts w:eastAsia="仿宋_GB2312"/>
          <w:sz w:val="32"/>
          <w:szCs w:val="32"/>
        </w:rPr>
        <w:t>此次清算资金下达至</w:t>
      </w:r>
      <w:r>
        <w:rPr>
          <w:rFonts w:eastAsia="仿宋_GB2312" w:hint="eastAsia"/>
          <w:sz w:val="32"/>
          <w:szCs w:val="32"/>
        </w:rPr>
        <w:t>南京市交通运输发展中心</w:t>
      </w:r>
      <w:r>
        <w:rPr>
          <w:rFonts w:eastAsia="仿宋_GB2312" w:hint="eastAsia"/>
          <w:sz w:val="32"/>
          <w:szCs w:val="32"/>
          <w:lang w:eastAsia="zh-CN"/>
        </w:rPr>
        <w:t>（南京航运交易中心）</w:t>
      </w:r>
      <w:r>
        <w:rPr>
          <w:rFonts w:eastAsia="仿宋_GB2312"/>
          <w:sz w:val="32"/>
          <w:szCs w:val="32"/>
        </w:rPr>
        <w:t>，</w:t>
      </w:r>
      <w:r>
        <w:rPr>
          <w:rFonts w:eastAsia="仿宋_GB2312" w:hint="eastAsia"/>
          <w:sz w:val="32"/>
          <w:szCs w:val="32"/>
        </w:rPr>
        <w:t>中心</w:t>
      </w:r>
      <w:r>
        <w:rPr>
          <w:rFonts w:eastAsia="仿宋_GB2312"/>
          <w:sz w:val="32"/>
          <w:szCs w:val="32"/>
        </w:rPr>
        <w:t>应建立专项资金拨付管控机制，及时将奖励资金拨付至各相关单位。</w:t>
      </w:r>
    </w:p>
    <w:p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（二）下达</w:t>
      </w:r>
      <w:r>
        <w:rPr>
          <w:rFonts w:eastAsia="仿宋_GB2312" w:hint="eastAsia"/>
          <w:sz w:val="32"/>
          <w:szCs w:val="32"/>
        </w:rPr>
        <w:t>南京市交通运输发展中心</w:t>
      </w:r>
      <w:r>
        <w:rPr>
          <w:rFonts w:eastAsia="仿宋_GB2312" w:hint="eastAsia"/>
          <w:sz w:val="32"/>
          <w:szCs w:val="32"/>
          <w:lang w:eastAsia="zh-CN"/>
        </w:rPr>
        <w:t>（南京</w:t>
      </w:r>
      <w:bookmarkStart w:id="0" w:name="_GoBack"/>
      <w:bookmarkEnd w:id="0"/>
      <w:r>
        <w:rPr>
          <w:rFonts w:eastAsia="仿宋_GB2312" w:hint="eastAsia"/>
          <w:sz w:val="32"/>
          <w:szCs w:val="32"/>
          <w:lang w:eastAsia="zh-CN"/>
        </w:rPr>
        <w:t>航运交易中心）</w:t>
      </w:r>
      <w:r>
        <w:rPr>
          <w:rFonts w:eastAsia="仿宋_GB2312" w:hint="eastAsia"/>
          <w:sz w:val="32"/>
          <w:szCs w:val="32"/>
          <w:lang w:val="en-US" w:eastAsia="zh-CN"/>
        </w:rPr>
        <w:t>24.2</w:t>
      </w:r>
      <w:r>
        <w:rPr>
          <w:rFonts w:eastAsia="仿宋_GB2312"/>
          <w:sz w:val="32"/>
          <w:szCs w:val="32"/>
        </w:rPr>
        <w:t>万元，用于</w:t>
      </w:r>
      <w:r>
        <w:rPr>
          <w:rFonts w:eastAsia="仿宋_GB2312" w:hint="eastAsia"/>
          <w:sz w:val="32"/>
          <w:szCs w:val="32"/>
        </w:rPr>
        <w:t>“航运交易综合信息管理平台”安全等级保护测试及</w:t>
      </w:r>
      <w:r>
        <w:rPr>
          <w:rFonts w:eastAsia="仿宋_GB2312" w:hint="eastAsia"/>
          <w:sz w:val="32"/>
          <w:szCs w:val="32"/>
          <w:lang w:val="en-US" w:eastAsia="zh-CN"/>
        </w:rPr>
        <w:t>运行维护</w:t>
      </w:r>
      <w:r>
        <w:rPr>
          <w:rFonts w:eastAsia="仿宋_GB2312"/>
          <w:sz w:val="32"/>
          <w:szCs w:val="32"/>
        </w:rPr>
        <w:t>（详见附件2）。</w:t>
      </w:r>
    </w:p>
    <w:p>
      <w:pPr>
        <w:spacing w:line="560" w:lineRule="exact"/>
        <w:ind w:firstLineChars="200" w:firstLine="640"/>
        <w:rPr>
          <w:rFonts w:eastAsia="仿宋_GB2312"/>
          <w:sz w:val="32"/>
          <w:szCs w:val="32"/>
          <w:lang w:val="en-US" w:eastAsia="zh-CN"/>
        </w:rPr>
      </w:pPr>
      <w:r>
        <w:rPr>
          <w:rFonts w:eastAsia="仿宋_GB2312" w:hint="eastAsia"/>
          <w:sz w:val="32"/>
          <w:szCs w:val="32"/>
          <w:lang w:eastAsia="zh-CN"/>
        </w:rPr>
        <w:t>（</w:t>
      </w:r>
      <w:r>
        <w:rPr>
          <w:rFonts w:eastAsia="仿宋_GB2312" w:hint="eastAsia"/>
          <w:sz w:val="32"/>
          <w:szCs w:val="32"/>
          <w:lang w:val="en-US" w:eastAsia="zh-CN"/>
        </w:rPr>
        <w:t>三）下达长江引航中心600万元，用于保障南京市集装箱业务发展、促进南京港通航能力提升</w:t>
      </w:r>
      <w:r>
        <w:rPr>
          <w:rFonts w:eastAsia="仿宋_GB2312"/>
          <w:sz w:val="32"/>
          <w:szCs w:val="32"/>
        </w:rPr>
        <w:t>（详见附件2）</w:t>
      </w:r>
      <w:r>
        <w:rPr>
          <w:rFonts w:eastAsia="仿宋_GB2312" w:hint="eastAsia"/>
          <w:sz w:val="32"/>
          <w:szCs w:val="32"/>
          <w:lang w:val="en-US" w:eastAsia="zh-CN"/>
        </w:rPr>
        <w:t>。</w:t>
      </w:r>
    </w:p>
    <w:p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请有关单位接到本通知后，及时办理资金拨付。严格按照《南京市港口物流发展专项资金管理办法》要求，规范资金使用管理，专款专用。</w:t>
      </w:r>
    </w:p>
    <w:p>
      <w:pPr>
        <w:spacing w:line="560" w:lineRule="exact"/>
        <w:rPr>
          <w:rFonts w:eastAsia="仿宋_GB2312"/>
          <w:sz w:val="32"/>
          <w:szCs w:val="32"/>
        </w:rPr>
      </w:pPr>
    </w:p>
    <w:p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附件：1、202</w:t>
      </w:r>
      <w:r>
        <w:rPr>
          <w:rFonts w:eastAsia="仿宋_GB2312" w:hint="eastAsia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年南京市港口物流专项项目兑现清算表</w:t>
      </w:r>
    </w:p>
    <w:p>
      <w:pPr>
        <w:tabs>
          <w:tab w:val="left" w:pos="840"/>
        </w:tabs>
        <w:spacing w:line="560" w:lineRule="exact"/>
        <w:ind w:leftChars="759" w:left="1594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2、202</w:t>
      </w:r>
      <w:r>
        <w:rPr>
          <w:rFonts w:eastAsia="仿宋_GB2312" w:hint="eastAsia"/>
          <w:sz w:val="32"/>
          <w:szCs w:val="32"/>
          <w:lang w:val="en-US" w:eastAsia="zh-CN"/>
        </w:rPr>
        <w:t>5</w:t>
      </w:r>
      <w:r>
        <w:rPr>
          <w:rFonts w:eastAsia="仿宋_GB2312"/>
          <w:sz w:val="32"/>
          <w:szCs w:val="32"/>
        </w:rPr>
        <w:t>年南京市港口物流专项第一批项目拨付表</w:t>
      </w:r>
    </w:p>
    <w:p>
      <w:pPr>
        <w:spacing w:line="560" w:lineRule="exact"/>
        <w:ind w:leftChars="759" w:left="1594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3、202</w:t>
      </w:r>
      <w:r>
        <w:rPr>
          <w:rFonts w:eastAsia="仿宋_GB2312" w:hint="eastAsia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年航线奖励明细</w:t>
      </w:r>
    </w:p>
    <w:p>
      <w:pPr>
        <w:spacing w:line="560" w:lineRule="exact"/>
        <w:ind w:leftChars="759" w:left="1594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4、202</w:t>
      </w:r>
      <w:r>
        <w:rPr>
          <w:rFonts w:eastAsia="仿宋_GB2312" w:hint="eastAsia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年生产贸易企业奖励明细</w:t>
      </w:r>
    </w:p>
    <w:p>
      <w:pPr>
        <w:spacing w:line="560" w:lineRule="exact"/>
        <w:rPr>
          <w:rFonts w:eastAsia="仿宋_GB2312" w:hint="eastAsia"/>
          <w:sz w:val="32"/>
          <w:szCs w:val="32"/>
        </w:rPr>
      </w:pPr>
    </w:p>
    <w:p>
      <w:pPr>
        <w:spacing w:line="560" w:lineRule="exact"/>
        <w:rPr>
          <w:rFonts w:eastAsia="仿宋_GB2312" w:hint="eastAsia"/>
          <w:sz w:val="32"/>
          <w:szCs w:val="32"/>
        </w:rPr>
      </w:pPr>
    </w:p>
    <w:p>
      <w:pPr>
        <w:spacing w:line="560" w:lineRule="exact"/>
        <w:ind w:firstLineChars="500" w:firstLine="1600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南京市交通运输局          南京市财政局</w:t>
      </w:r>
    </w:p>
    <w:p>
      <w:pPr>
        <w:spacing w:line="560" w:lineRule="exact"/>
        <w:ind w:firstLineChars="40" w:firstLine="128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                            </w:t>
      </w:r>
      <w:r>
        <w:rPr>
          <w:rFonts w:eastAsia="仿宋_GB2312"/>
          <w:sz w:val="32"/>
          <w:szCs w:val="32"/>
        </w:rPr>
        <w:t xml:space="preserve">  202</w:t>
      </w:r>
      <w:r>
        <w:rPr>
          <w:rFonts w:eastAsia="仿宋_GB2312" w:hint="eastAsia"/>
          <w:sz w:val="32"/>
          <w:szCs w:val="32"/>
          <w:lang w:val="en-US" w:eastAsia="zh-CN"/>
        </w:rPr>
        <w:t>5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月</w:t>
      </w:r>
      <w:r>
        <w:rPr>
          <w:rFonts w:eastAsia="仿宋_GB2312"/>
          <w:sz w:val="32"/>
          <w:szCs w:val="32"/>
          <w:lang w:val="en-US" w:eastAsia="zh-CN"/>
        </w:rPr>
        <w:t>5</w:t>
      </w:r>
      <w:r>
        <w:rPr>
          <w:rFonts w:eastAsia="仿宋_GB2312"/>
          <w:sz w:val="32"/>
          <w:szCs w:val="32"/>
        </w:rPr>
        <w:t>日</w:t>
      </w:r>
    </w:p>
    <w:tbl>
      <w:tblPr>
        <w:tblpPr w:leftFromText="180" w:rightFromText="180" w:vertAnchor="text" w:horzAnchor="page" w:tblpX="1659" w:tblpY="728"/>
        <w:tblOverlap w:val="never"/>
        <w:tblBorders>
          <w:top w:val="none" w:sz="0" w:space="0" w:color="auto"/>
          <w:left w:val="none" w:sz="0" w:space="0" w:color="auto"/>
          <w:bottom w:val="single" w:sz="8" w:space="0" w:color="000000"/>
          <w:right w:val="none" w:sz="0" w:space="0" w:color="auto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1"/>
      </w:tblGrid>
      <w:tr>
        <w:trPr>
          <w:trHeight w:val="453"/>
        </w:trPr>
        <w:tc>
          <w:tcPr>
            <w:tcW w:w="88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  <w:tl2br w:val="nil"/>
              <w:tr2bl w:val="nil"/>
            </w:tcBorders>
          </w:tcPr>
          <w:p>
            <w:pPr>
              <w:autoSpaceDE w:val="0"/>
              <w:autoSpaceDN w:val="0"/>
              <w:spacing w:line="560" w:lineRule="atLeast"/>
              <w:jc w:val="left"/>
              <w:rPr>
                <w:rFonts w:eastAsia="仿宋_GB2312" w:hint="eastAsia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 xml:space="preserve">  南京市交通运输局办公室                </w:t>
            </w:r>
            <w:r>
              <w:rPr>
                <w:rFonts w:eastAsia="仿宋_GB2312" w:hint="eastAsia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eastAsia="仿宋_GB2312" w:cs="Times New Roman"/>
                <w:kern w:val="0"/>
                <w:sz w:val="28"/>
                <w:szCs w:val="28"/>
              </w:rPr>
              <w:t xml:space="preserve"> 202</w:t>
            </w:r>
            <w:r>
              <w:rPr>
                <w:rFonts w:eastAsia="仿宋_GB2312" w:cs="Times New Roman" w:hint="eastAsia"/>
                <w:kern w:val="0"/>
                <w:sz w:val="28"/>
                <w:szCs w:val="28"/>
                <w:lang w:val="en-US" w:eastAsia="zh-CN"/>
              </w:rPr>
              <w:t>5</w:t>
            </w:r>
            <w:r>
              <w:rPr>
                <w:rFonts w:eastAsia="仿宋_GB2312" w:cs="Times New Roman"/>
                <w:kern w:val="0"/>
                <w:sz w:val="28"/>
                <w:szCs w:val="28"/>
              </w:rPr>
              <w:t>年</w:t>
            </w:r>
            <w:r>
              <w:rPr>
                <w:rFonts w:eastAsia="仿宋_GB2312" w:cs="Times New Roman"/>
                <w:kern w:val="0"/>
                <w:sz w:val="28"/>
                <w:szCs w:val="28"/>
                <w:lang w:val="en-US" w:eastAsia="zh-CN"/>
              </w:rPr>
              <w:t>8</w:t>
            </w:r>
            <w:r>
              <w:rPr>
                <w:rFonts w:eastAsia="仿宋_GB2312" w:cs="Times New Roman"/>
                <w:kern w:val="0"/>
                <w:sz w:val="28"/>
                <w:szCs w:val="28"/>
              </w:rPr>
              <w:t>月</w:t>
            </w:r>
            <w:r>
              <w:rPr>
                <w:rFonts w:eastAsia="仿宋_GB2312" w:cs="Times New Roman"/>
                <w:kern w:val="0"/>
                <w:sz w:val="28"/>
                <w:szCs w:val="28"/>
                <w:lang w:val="en-US" w:eastAsia="zh-CN"/>
              </w:rPr>
              <w:t>5</w:t>
            </w:r>
            <w:r>
              <w:rPr>
                <w:rFonts w:eastAsia="仿宋_GB2312" w:cs="Times New Roman"/>
                <w:kern w:val="0"/>
                <w:sz w:val="28"/>
                <w:szCs w:val="28"/>
              </w:rPr>
              <w:t>日印发</w:t>
            </w:r>
          </w:p>
        </w:tc>
      </w:tr>
    </w:tbl>
    <w:p>
      <w:pPr>
        <w:snapToGrid w:val="0"/>
        <w:spacing w:line="520" w:lineRule="exact"/>
        <w:ind w:right="1179"/>
        <w:jc w:val="right"/>
        <w:rPr>
          <w:rFonts w:eastAsia="仿宋_GB2312" w:hint="eastAsia"/>
          <w:sz w:val="32"/>
          <w:szCs w:val="32"/>
        </w:rPr>
      </w:pPr>
    </w:p>
    <w:p>
      <w:pPr>
        <w:spacing w:line="20" w:lineRule="exact"/>
        <w:rPr>
          <w:rFonts w:hint="eastAsia"/>
        </w:rPr>
      </w:pPr>
    </w:p>
    <w:sectPr>
      <w:headerReference w:type="default" r:id="rId2"/>
      <w:headerReference w:type="even" r:id="rId3"/>
      <w:footerReference w:type="default" r:id="rId4"/>
      <w:footerReference w:type="even" r:id="rId5"/>
      <w:pgSz w:w="11907" w:h="16840"/>
      <w:pgMar w:top="2098" w:right="1474" w:bottom="1985" w:left="1588" w:header="851" w:footer="1418" w:gutter="0"/>
      <w:pgNumType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仿宋_GB2312">
    <w:altName w:val="仿宋"/>
    <w:panose1 w:val="02010609030101010101"/>
    <w:charset w:val="86"/>
    <w:family w:val="modern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0000000000000000000"/>
    <w:charset w:val="86"/>
    <w:family w:val="auto"/>
    <w:pitch w:val="variable"/>
    <w:sig w:usb0="800002BF" w:usb1="38CF7CFA" w:usb2="00000016" w:usb3="00000000" w:csb0="00040001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16"/>
      <w:framePr w:w="1683" w:hRule="auto" w:wrap="around" w:vAnchor="text" w:hAnchor="page" w:x="8729" w:y="3" w:anchorLock="0"/>
      <w:tabs>
        <w:tab w:val="center" w:pos="4153"/>
        <w:tab w:val="right" w:pos="8306"/>
      </w:tabs>
      <w:wordWrap w:val="0"/>
      <w:jc w:val="right"/>
      <w:rPr>
        <w:rStyle w:val="17"/>
        <w:rFonts w:hint="eastAsia"/>
        <w:sz w:val="28"/>
      </w:rPr>
    </w:pPr>
    <w:r>
      <w:rPr>
        <w:rStyle w:val="17"/>
        <w:rFonts w:hint="eastAsia"/>
        <w:sz w:val="28"/>
      </w:rPr>
      <w:t>—</w:t>
    </w:r>
    <w:r>
      <w:rPr>
        <w:rStyle w:val="17"/>
        <w:sz w:val="28"/>
      </w:rPr>
      <w:t xml:space="preserve"> </w:t>
    </w:r>
    <w:r>
      <w:rPr>
        <w:rStyle w:val="17"/>
        <w:sz w:val="28"/>
      </w:rPr>
      <w:fldChar w:fldCharType="begin"/>
    </w:r>
    <w:r>
      <w:rPr>
        <w:rStyle w:val="17"/>
        <w:sz w:val="28"/>
      </w:rPr>
      <w:instrText xml:space="preserve">PAGE  </w:instrText>
    </w:r>
    <w:r>
      <w:rPr>
        <w:rStyle w:val="17"/>
        <w:sz w:val="28"/>
      </w:rPr>
      <w:fldChar w:fldCharType="separate"/>
    </w:r>
    <w:r>
      <w:rPr>
        <w:rStyle w:val="17"/>
        <w:sz w:val="28"/>
        <w:lang w:val="en-US" w:eastAsia="zh-CN"/>
      </w:rPr>
      <w:t>2</w:t>
    </w:r>
    <w:r>
      <w:rPr>
        <w:rStyle w:val="17"/>
        <w:sz w:val="28"/>
      </w:rPr>
      <w:fldChar w:fldCharType="end"/>
    </w:r>
    <w:r>
      <w:rPr>
        <w:rStyle w:val="17"/>
        <w:sz w:val="28"/>
      </w:rPr>
      <w:t xml:space="preserve"> </w:t>
    </w:r>
    <w:r>
      <w:rPr>
        <w:rStyle w:val="17"/>
        <w:rFonts w:hint="eastAsia"/>
        <w:sz w:val="28"/>
      </w:rPr>
      <w:t xml:space="preserve">—  </w:t>
    </w:r>
  </w:p>
  <w:p>
    <w:pPr>
      <w:pStyle w:val="16"/>
      <w:tabs>
        <w:tab w:val="center" w:pos="4153"/>
        <w:tab w:val="right" w:pos="8306"/>
      </w:tabs>
      <w:ind w:right="360" w:firstLine="360"/>
    </w:pPr>
  </w:p>
</w:ftr>
</file>

<file path=word/footer2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16"/>
      <w:framePr w:w="0" w:hRule="auto" w:wrap="around" w:vAnchor="text" w:hAnchor="margin" w:xAlign="outside" w:y="1" w:anchorLock="0"/>
      <w:tabs>
        <w:tab w:val="center" w:pos="4153"/>
        <w:tab w:val="right" w:pos="8306"/>
      </w:tabs>
      <w:rPr>
        <w:rStyle w:val="17"/>
        <w:rFonts w:hint="eastAsia"/>
        <w:sz w:val="28"/>
      </w:rPr>
    </w:pPr>
    <w:r>
      <w:rPr>
        <w:rStyle w:val="17"/>
        <w:rFonts w:hint="eastAsia"/>
        <w:sz w:val="28"/>
      </w:rPr>
      <w:t xml:space="preserve">  —</w:t>
    </w:r>
    <w:r>
      <w:rPr>
        <w:rStyle w:val="17"/>
        <w:sz w:val="28"/>
      </w:rPr>
      <w:t xml:space="preserve"> </w:t>
    </w:r>
    <w:r>
      <w:rPr>
        <w:rStyle w:val="17"/>
        <w:sz w:val="28"/>
      </w:rPr>
      <w:fldChar w:fldCharType="begin"/>
    </w:r>
    <w:r>
      <w:rPr>
        <w:rStyle w:val="17"/>
        <w:sz w:val="28"/>
      </w:rPr>
      <w:instrText xml:space="preserve">PAGE  </w:instrText>
    </w:r>
    <w:r>
      <w:rPr>
        <w:rStyle w:val="17"/>
        <w:sz w:val="28"/>
      </w:rPr>
      <w:fldChar w:fldCharType="separate"/>
    </w:r>
    <w:r>
      <w:rPr>
        <w:rStyle w:val="17"/>
        <w:sz w:val="28"/>
        <w:lang w:val="en-US" w:eastAsia="zh-CN"/>
      </w:rPr>
      <w:t>2</w:t>
    </w:r>
    <w:r>
      <w:rPr>
        <w:rStyle w:val="17"/>
        <w:sz w:val="28"/>
      </w:rPr>
      <w:fldChar w:fldCharType="end"/>
    </w:r>
    <w:r>
      <w:rPr>
        <w:rStyle w:val="17"/>
        <w:sz w:val="28"/>
      </w:rPr>
      <w:t xml:space="preserve"> </w:t>
    </w:r>
    <w:r>
      <w:rPr>
        <w:rStyle w:val="17"/>
        <w:rFonts w:hint="eastAsia"/>
        <w:sz w:val="28"/>
      </w:rPr>
      <w:t>—</w:t>
    </w:r>
  </w:p>
  <w:p>
    <w:pPr>
      <w:pStyle w:val="16"/>
      <w:tabs>
        <w:tab w:val="center" w:pos="4153"/>
        <w:tab w:val="right" w:pos="8306"/>
      </w:tabs>
      <w:ind w:right="360" w:firstLine="360"/>
    </w:pPr>
  </w:p>
</w:ftr>
</file>

<file path=word/header1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18"/>
      <w:pBdr>
        <w:bottom w:val="none" w:sz="0" w:space="0" w:color="auto"/>
      </w:pBdr>
      <w:tabs>
        <w:tab w:val="center" w:pos="4153"/>
        <w:tab w:val="right" w:pos="8306"/>
      </w:tabs>
    </w:pPr>
  </w:p>
</w:hdr>
</file>

<file path=word/header2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18"/>
      <w:pBdr>
        <w:bottom w:val="none" w:sz="0" w:space="0" w:color="auto"/>
      </w:pBdr>
      <w:tabs>
        <w:tab w:val="center" w:pos="4153"/>
        <w:tab w:val="right" w:pos="8306"/>
      </w:tabs>
    </w:pPr>
  </w:p>
</w:hd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86"/>
  <w:bordersDoNotSurroundHeader/>
  <w:bordersDoNotSurroundFooter/>
  <w:defaultTabStop w:val="420"/>
  <w:evenAndOddHeaders/>
  <w:drawingGridHorizontalSpacing w:val="18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doNotUseIndentAsNumberingTabStop/>
    <w:useAltKinsokuLineBreakRules/>
    <w:splitPgBreakAndParaMark/>
    <w:compatSetting w:name="compatibilityMode" w:uri="http://schemas.microsoft.com/office/word" w:val="11"/>
  </w:compat>
  <w:docVars/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Times New Roman" w:eastAsia="黑体" w:hAnsi="Times New Roman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Date"/>
    <w:basedOn w:val="0"/>
    <w:next w:val="0"/>
    <w:rPr>
      <w:rFonts w:ascii="仿宋_GB2312" w:eastAsia="仿宋_GB2312"/>
      <w:sz w:val="32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17">
    <w:name w:val="page number"/>
    <w:basedOn w:val="10"/>
  </w:style>
  <w:style w:type="paragraph" w:styleId="18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bdr w:val="none" w:sz="0" w:space="0" w:color="auto"/>
    </w:rPr>
  </w:style>
  <w:style w:type="paragraph" w:styleId="19">
    <w:name w:val="Document Map"/>
    <w:basedOn w:val="0"/>
    <w:pPr>
      <w:shd w:val="clear" w:color="auto" w:fill="000080"/>
    </w:pPr>
  </w:style>
  <w:style w:type="paragraph" w:customStyle="1" w:styleId="20">
    <w:name w:val="Char Char Char Char"/>
    <w:basedOn w:val="19"/>
    <w:autoRedefine/>
    <w:rPr>
      <w:rFonts w:ascii="Tahoma" w:cs="Tahoma" w:hAnsi="Tahoma"/>
      <w:sz w:val="24"/>
      <w:szCs w:val="24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styles" Target="styles.xml"/><Relationship Id="rId7" Type="http://schemas.openxmlformats.org/officeDocument/2006/relationships/fontTable" Target="fontTable.xml"/><Relationship Id="rId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主题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Office 主题">
      <a:fillStyleLst>
        <a:solidFill>
          <a:schemeClr val="phClr"/>
        </a:solidFill>
        <a:gradFill/>
        <a:gradFill/>
      </a:fillStyleLst>
      <a:lnStyleLst>
        <a:ln w="6350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/>
        <a:gradFill/>
      </a:bgFillStyleLst>
    </a:fmtScheme>
  </a:themeElements>
  <a:objectDefaults>
    <a:spDef>
      <a:spPr>
        <a:solidFill>
          <a:srgbClr val="FFFFFF"/>
        </a:solidFill>
        <a:ln w="9525" cmpd="sng" cap="flat">
          <a:solidFill>
            <a:srgbClr val="000000"/>
          </a:solidFill>
          <a:prstDash val="solid"/>
          <a:miter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 cmpd="sng" cap="flat">
          <a:solidFill>
            <a:srgbClr val="000000"/>
          </a:solidFill>
          <a:prstDash val="solid"/>
          <a:miter/>
        </a:ln>
      </a:spPr>
      <a:bodyPr/>
      <a:lstStyle/>
      <a:style>
        <a:lnRef idx="1">
          <a:schemeClr val="accent4">
            <a:shade val="50000"/>
          </a:schemeClr>
        </a:lnRef>
        <a:fillRef idx="0">
          <a:schemeClr val="accent4"/>
        </a:fillRef>
        <a:effectRef idx="0">
          <a:schemeClr val="accent4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>
  <Template>Normal.eit</Template>
  <TotalTime>31</TotalTime>
  <Application>Yozo_Office27021597764231179</Application>
  <Pages>2</Pages>
  <Words>604</Words>
  <Characters>686</Characters>
  <Lines>43</Lines>
  <Paragraphs>18</Paragraphs>
  <CharactersWithSpaces>751</CharactersWithSpaces>
  <Company>NJJT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文件</dc:title>
  <dc:creator>徐卫民</dc:creator>
  <cp:lastModifiedBy>刘泽阳</cp:lastModifiedBy>
  <cp:revision>7</cp:revision>
  <cp:lastPrinted>2025-08-05T09:26:15Z</cp:lastPrinted>
  <dcterms:created xsi:type="dcterms:W3CDTF">2017-01-04T02:28:00Z</dcterms:created>
  <dcterms:modified xsi:type="dcterms:W3CDTF">2025-08-07T07:58:18Z</dcterms:modified>
</cp:coreProperties>
</file>