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ind w:left="-14"/>
        <w:jc w:val="center"/>
        <w:rPr>
          <w:rFonts w:hint="eastAsia" w:eastAsia="仿宋_GB2312"/>
          <w:sz w:val="32"/>
        </w:rPr>
      </w:pPr>
    </w:p>
    <w:tbl>
      <w:tblPr>
        <w:tblStyle w:val="9"/>
        <w:tblpPr w:leftFromText="180" w:rightFromText="180" w:vertAnchor="text" w:horzAnchor="page" w:tblpX="8776" w:tblpY="73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ind w:left="-42" w:leftChars="-20"/>
              <w:jc w:val="center"/>
              <w:rPr>
                <w:b/>
                <w:color w:val="FF0000"/>
                <w:sz w:val="84"/>
                <w:szCs w:val="84"/>
              </w:rPr>
            </w:pPr>
            <w:r>
              <w:rPr>
                <w:rFonts w:hint="eastAsia"/>
                <w:b/>
                <w:color w:val="FF0000"/>
                <w:sz w:val="84"/>
                <w:szCs w:val="84"/>
              </w:rPr>
              <w:t>文件</w:t>
            </w:r>
          </w:p>
        </w:tc>
      </w:tr>
    </w:tbl>
    <w:p>
      <w:pPr>
        <w:ind w:right="1911" w:rightChars="910"/>
        <w:jc w:val="distribute"/>
        <w:rPr>
          <w:rFonts w:hint="eastAsia"/>
          <w:b/>
          <w:color w:val="FF0000"/>
          <w:sz w:val="84"/>
          <w:szCs w:val="84"/>
        </w:rPr>
      </w:pPr>
      <w:r>
        <w:rPr>
          <w:rFonts w:hint="eastAsia"/>
          <w:b/>
          <w:color w:val="FF0000"/>
          <w:sz w:val="84"/>
          <w:szCs w:val="84"/>
        </w:rPr>
        <w:t>南京市交通运输局</w:t>
      </w:r>
    </w:p>
    <w:p>
      <w:pPr>
        <w:ind w:right="1911" w:rightChars="910"/>
        <w:jc w:val="distribute"/>
        <w:rPr>
          <w:rFonts w:hint="eastAsia"/>
          <w:b/>
          <w:color w:val="FF0000"/>
          <w:sz w:val="84"/>
          <w:szCs w:val="84"/>
        </w:rPr>
      </w:pPr>
      <w:r>
        <w:rPr>
          <w:rFonts w:hint="eastAsia"/>
          <w:b/>
          <w:color w:val="FF0000"/>
          <w:sz w:val="84"/>
          <w:szCs w:val="84"/>
        </w:rPr>
        <w:t>南京市</w:t>
      </w:r>
      <w:r>
        <w:rPr>
          <w:b/>
          <w:color w:val="FF0000"/>
          <w:sz w:val="84"/>
          <w:szCs w:val="84"/>
        </w:rPr>
        <w:t>财政</w:t>
      </w:r>
      <w:r>
        <w:rPr>
          <w:rFonts w:hint="eastAsia"/>
          <w:b/>
          <w:color w:val="FF0000"/>
          <w:sz w:val="84"/>
          <w:szCs w:val="84"/>
        </w:rPr>
        <w:t>局</w:t>
      </w:r>
    </w:p>
    <w:p>
      <w:pPr>
        <w:snapToGrid w:val="0"/>
        <w:spacing w:line="560" w:lineRule="exact"/>
        <w:ind w:left="-14"/>
        <w:jc w:val="center"/>
        <w:rPr>
          <w:rFonts w:hint="eastAsia" w:eastAsia="仿宋_GB2312"/>
          <w:sz w:val="32"/>
        </w:rPr>
      </w:pPr>
    </w:p>
    <w:p>
      <w:pPr>
        <w:snapToGrid w:val="0"/>
        <w:spacing w:line="400" w:lineRule="exact"/>
        <w:jc w:val="center"/>
        <w:rPr>
          <w:rFonts w:hint="eastAsia" w:eastAsia="仿宋_GB2312"/>
          <w:sz w:val="32"/>
        </w:rPr>
      </w:pPr>
    </w:p>
    <w:p>
      <w:pPr>
        <w:jc w:val="center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宁交</w:t>
      </w:r>
      <w:r>
        <w:rPr>
          <w:rFonts w:hint="eastAsia" w:eastAsia="仿宋_GB2312"/>
          <w:sz w:val="32"/>
          <w:szCs w:val="32"/>
          <w:lang w:val="en-US" w:eastAsia="zh-CN"/>
        </w:rPr>
        <w:t>路政</w:t>
      </w:r>
      <w:r>
        <w:rPr>
          <w:rFonts w:hint="eastAsia" w:eastAsia="仿宋_GB2312"/>
          <w:color w:val="000000"/>
          <w:sz w:val="32"/>
          <w:szCs w:val="32"/>
        </w:rPr>
        <w:t>〔202</w:t>
      </w:r>
      <w:r>
        <w:rPr>
          <w:rFonts w:eastAsia="仿宋_GB2312"/>
          <w:color w:val="000000"/>
          <w:sz w:val="32"/>
          <w:szCs w:val="32"/>
        </w:rPr>
        <w:t>5</w:t>
      </w:r>
      <w:r>
        <w:rPr>
          <w:rFonts w:hint="eastAsia" w:eastAsia="仿宋_GB2312"/>
          <w:color w:val="000000"/>
          <w:sz w:val="32"/>
          <w:szCs w:val="32"/>
        </w:rPr>
        <w:t>〕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130</w:t>
      </w:r>
      <w:bookmarkStart w:id="10" w:name="_GoBack"/>
      <w:bookmarkEnd w:id="10"/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color w:val="000000"/>
          <w:sz w:val="32"/>
          <w:szCs w:val="32"/>
        </w:rPr>
        <w:t>号</w:t>
      </w:r>
    </w:p>
    <w:p>
      <w:pPr>
        <w:jc w:val="center"/>
        <w:rPr>
          <w:rFonts w:hint="eastAsia" w:eastAsia="仿宋_GB2312"/>
          <w:sz w:val="32"/>
        </w:rPr>
      </w:pPr>
      <w:r>
        <w:rPr>
          <w:rFonts w:hint="eastAsia" w:eastAsia="仿宋_GB2312"/>
          <w:lang w:val="en-US" w:eastAsia="zh-CN"/>
        </w:rPr>
        <mc:AlternateContent>
          <mc:Choice Requires="wps">
            <w:drawing>
              <wp:anchor distT="0" distB="0" distL="113665" distR="113665" simplePos="0" relativeHeight="251659264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223520</wp:posOffset>
                </wp:positionV>
                <wp:extent cx="5615940" cy="0"/>
                <wp:effectExtent l="0" t="0" r="0" b="0"/>
                <wp:wrapNone/>
                <wp:docPr id="1" name="直线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" o:spid="_x0000_s1026" o:spt="20" style="position:absolute;left:0pt;margin-left:10.45pt;margin-top:17.6pt;height:0pt;width:442.2pt;z-index:251659264;mso-width-relative:page;mso-height-relative:page;" filled="f" stroked="t" coordsize="21600,21600" o:gfxdata="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RcIRdQAAAAIAQAADwAAAAAAAAABACAA&#10;AAAiAAAAZHJzL2Rvd25yZXYueG1sUEsBAhQAFAAAAAgAh07iQPchosgRAgAAGwQAAA4AAAAAAAAA&#10;AQAgAAAAIwEAAGRycy9lMm9Eb2MueG1sUEsFBgAAAAAGAAYAWQEAAKYFAAAAAA==&#10;">
                <v:fill on="f" focussize="0,0"/>
                <v:stroke color="#FF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snapToGrid w:val="0"/>
        <w:spacing w:line="560" w:lineRule="exact"/>
        <w:jc w:val="center"/>
        <w:rPr>
          <w:rFonts w:hint="eastAsia" w:eastAsia="仿宋_GB2312"/>
          <w:sz w:val="32"/>
        </w:rPr>
      </w:pPr>
    </w:p>
    <w:p>
      <w:pPr>
        <w:snapToGrid w:val="0"/>
        <w:spacing w:line="560" w:lineRule="exact"/>
        <w:jc w:val="center"/>
        <w:rPr>
          <w:rFonts w:hint="eastAsia" w:eastAsia="仿宋_GB2312"/>
          <w:sz w:val="32"/>
        </w:rPr>
      </w:pPr>
    </w:p>
    <w:p>
      <w:pPr>
        <w:spacing w:line="560" w:lineRule="exact"/>
        <w:jc w:val="center"/>
        <w:rPr>
          <w:rFonts w:eastAsia="方正小标宋_GBK"/>
          <w:sz w:val="44"/>
          <w:szCs w:val="44"/>
        </w:rPr>
      </w:pPr>
      <w:bookmarkStart w:id="0" w:name="OLE_LINK10"/>
      <w:r>
        <w:rPr>
          <w:rFonts w:eastAsia="方正小标宋_GBK"/>
          <w:sz w:val="44"/>
          <w:szCs w:val="44"/>
        </w:rPr>
        <w:t>关于</w:t>
      </w:r>
      <w:r>
        <w:rPr>
          <w:rFonts w:hint="eastAsia" w:eastAsia="方正小标宋_GBK"/>
          <w:sz w:val="44"/>
          <w:szCs w:val="44"/>
        </w:rPr>
        <w:t>下达2025年交通运输领域重点项目资金预算（第二批）的通知</w:t>
      </w:r>
      <w:bookmarkEnd w:id="0"/>
    </w:p>
    <w:p>
      <w:pPr>
        <w:spacing w:line="560" w:lineRule="exact"/>
        <w:jc w:val="left"/>
        <w:rPr>
          <w:rFonts w:eastAsia="仿宋_GB2312"/>
          <w:sz w:val="32"/>
          <w:szCs w:val="32"/>
        </w:rPr>
      </w:pPr>
    </w:p>
    <w:p>
      <w:pPr>
        <w:spacing w:line="56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市公路事业发展中心：</w:t>
      </w:r>
    </w:p>
    <w:p>
      <w:pPr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根据《</w:t>
      </w:r>
      <w:bookmarkStart w:id="1" w:name="OLE_LINK1"/>
      <w:r>
        <w:rPr>
          <w:rFonts w:hint="eastAsia" w:eastAsia="仿宋_GB2312"/>
          <w:sz w:val="32"/>
          <w:szCs w:val="32"/>
        </w:rPr>
        <w:t>关于下达2025年交通运输领域重点项目资金预算（第二批）的通知</w:t>
      </w:r>
      <w:bookmarkEnd w:id="1"/>
      <w:r>
        <w:rPr>
          <w:rFonts w:eastAsia="仿宋_GB2312"/>
          <w:sz w:val="32"/>
          <w:szCs w:val="32"/>
        </w:rPr>
        <w:t>》（</w:t>
      </w:r>
      <w:r>
        <w:rPr>
          <w:rFonts w:hint="eastAsia" w:eastAsia="仿宋_GB2312"/>
          <w:sz w:val="32"/>
          <w:szCs w:val="32"/>
        </w:rPr>
        <w:t>苏财建〔2025〕51号</w:t>
      </w:r>
      <w:r>
        <w:rPr>
          <w:rFonts w:eastAsia="仿宋_GB2312"/>
          <w:sz w:val="32"/>
          <w:szCs w:val="32"/>
        </w:rPr>
        <w:t>），现将用于支持我市</w:t>
      </w:r>
      <w:bookmarkStart w:id="2" w:name="OLE_LINK2"/>
      <w:r>
        <w:rPr>
          <w:rFonts w:hint="eastAsia" w:eastAsia="仿宋_GB2312"/>
          <w:sz w:val="32"/>
          <w:szCs w:val="32"/>
          <w:lang w:val="en-US" w:eastAsia="zh-CN"/>
        </w:rPr>
        <w:t>G205（K1247.314-K1277.564）公路安全提升工程</w:t>
      </w:r>
      <w:bookmarkEnd w:id="2"/>
      <w:r>
        <w:rPr>
          <w:rFonts w:hint="eastAsia" w:eastAsia="仿宋_GB2312"/>
          <w:sz w:val="32"/>
          <w:szCs w:val="32"/>
          <w:lang w:val="en-US" w:eastAsia="zh-CN"/>
        </w:rPr>
        <w:t>3177万元、</w:t>
      </w:r>
      <w:bookmarkStart w:id="3" w:name="OLE_LINK4"/>
      <w:r>
        <w:rPr>
          <w:rFonts w:hint="eastAsia" w:eastAsia="仿宋_GB2312"/>
          <w:sz w:val="32"/>
          <w:szCs w:val="32"/>
          <w:lang w:val="en-US" w:eastAsia="zh-CN"/>
        </w:rPr>
        <w:t>320118-（G235-1）G235桥梁群结构监测系统</w:t>
      </w:r>
      <w:bookmarkEnd w:id="3"/>
      <w:r>
        <w:rPr>
          <w:rFonts w:hint="eastAsia" w:eastAsia="仿宋_GB2312"/>
          <w:sz w:val="32"/>
          <w:szCs w:val="32"/>
          <w:lang w:val="en-US" w:eastAsia="zh-CN"/>
        </w:rPr>
        <w:t>85万元</w:t>
      </w:r>
      <w:r>
        <w:rPr>
          <w:rFonts w:eastAsia="仿宋_GB2312"/>
          <w:sz w:val="32"/>
          <w:szCs w:val="32"/>
        </w:rPr>
        <w:t>下达给你单位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支出列2025年政府收支分类科目“214交通运输支出”</w:t>
      </w:r>
      <w:r>
        <w:rPr>
          <w:rFonts w:eastAsia="仿宋_GB2312"/>
          <w:sz w:val="32"/>
          <w:szCs w:val="32"/>
        </w:rPr>
        <w:t xml:space="preserve">。 </w:t>
      </w:r>
    </w:p>
    <w:p>
      <w:pPr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请你单位严格按照</w:t>
      </w:r>
      <w:r>
        <w:rPr>
          <w:rFonts w:hint="eastAsia" w:eastAsia="仿宋_GB2312"/>
          <w:sz w:val="32"/>
          <w:szCs w:val="32"/>
          <w:lang w:eastAsia="zh-CN"/>
        </w:rPr>
        <w:t>《</w:t>
      </w:r>
      <w:r>
        <w:rPr>
          <w:rFonts w:hint="eastAsia" w:eastAsia="仿宋_GB2312"/>
          <w:sz w:val="32"/>
          <w:szCs w:val="32"/>
        </w:rPr>
        <w:t>交通运输领域重点项目资金管理办法</w:t>
      </w:r>
      <w:r>
        <w:rPr>
          <w:rFonts w:hint="eastAsia" w:eastAsia="仿宋_GB2312"/>
          <w:sz w:val="32"/>
          <w:szCs w:val="32"/>
          <w:lang w:eastAsia="zh-CN"/>
        </w:rPr>
        <w:t>》</w:t>
      </w:r>
      <w:r>
        <w:rPr>
          <w:rFonts w:hint="eastAsia" w:eastAsia="仿宋_GB2312"/>
          <w:sz w:val="32"/>
          <w:szCs w:val="32"/>
        </w:rPr>
        <w:t>（财建〔2024〕366号）</w:t>
      </w:r>
      <w:r>
        <w:rPr>
          <w:rFonts w:hint="eastAsia" w:eastAsia="仿宋_GB2312"/>
          <w:sz w:val="32"/>
          <w:szCs w:val="32"/>
          <w:lang w:val="en-US" w:eastAsia="zh-CN"/>
        </w:rPr>
        <w:t>及财政资金相关管理规定</w:t>
      </w:r>
      <w:r>
        <w:rPr>
          <w:rFonts w:eastAsia="仿宋_GB2312"/>
          <w:sz w:val="32"/>
          <w:szCs w:val="32"/>
        </w:rPr>
        <w:t>，切实加快支出进度，确保资金专款专用。同时，严格按照国家和省有关预算绩效管理的要求，完善资金绩效目标管理，做好绩效运行监控和绩效评价，确保财政资金安全高效；严格按照中央直达资金的相关要求，做好直达资金监控工作。</w:t>
      </w:r>
    </w:p>
    <w:p>
      <w:pPr>
        <w:spacing w:line="560" w:lineRule="exact"/>
        <w:ind w:left="1910" w:leftChars="300" w:hanging="1280" w:hangingChars="400"/>
        <w:jc w:val="left"/>
        <w:rPr>
          <w:rFonts w:eastAsia="仿宋_GB2312"/>
          <w:sz w:val="32"/>
          <w:szCs w:val="32"/>
        </w:rPr>
      </w:pPr>
    </w:p>
    <w:p>
      <w:pPr>
        <w:spacing w:line="560" w:lineRule="exact"/>
        <w:ind w:left="1910" w:leftChars="300" w:hanging="1280" w:hangingChars="4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附件：1.</w:t>
      </w:r>
      <w:r>
        <w:rPr>
          <w:rFonts w:hint="eastAsia" w:eastAsia="仿宋_GB2312"/>
          <w:sz w:val="32"/>
          <w:szCs w:val="32"/>
        </w:rPr>
        <w:t>关于下达2025年交通运输领域重点项目资金预算（第二批）的通知</w:t>
      </w:r>
    </w:p>
    <w:p>
      <w:pPr>
        <w:spacing w:line="560" w:lineRule="exact"/>
        <w:ind w:left="479" w:leftChars="228" w:firstLine="1120" w:firstLineChars="35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bookmarkStart w:id="4" w:name="OLE_LINK5"/>
      <w:r>
        <w:rPr>
          <w:rFonts w:hint="eastAsia" w:eastAsia="仿宋_GB2312"/>
          <w:sz w:val="32"/>
          <w:szCs w:val="32"/>
        </w:rPr>
        <w:t>下达2025年交通运输领域专项资金（第</w:t>
      </w:r>
      <w:r>
        <w:rPr>
          <w:rFonts w:hint="eastAsia" w:eastAsia="仿宋_GB2312"/>
          <w:sz w:val="32"/>
          <w:szCs w:val="32"/>
          <w:lang w:val="en-US" w:eastAsia="zh-CN"/>
        </w:rPr>
        <w:t>二</w:t>
      </w:r>
      <w:r>
        <w:rPr>
          <w:rFonts w:hint="eastAsia" w:eastAsia="仿宋_GB2312"/>
          <w:sz w:val="32"/>
          <w:szCs w:val="32"/>
        </w:rPr>
        <w:t>批）</w:t>
      </w:r>
      <w:bookmarkEnd w:id="4"/>
    </w:p>
    <w:p>
      <w:pPr>
        <w:spacing w:line="560" w:lineRule="exact"/>
        <w:ind w:left="479" w:leftChars="228" w:firstLine="1440" w:firstLineChars="45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资金拨付明细表</w:t>
      </w:r>
      <w:r>
        <w:rPr>
          <w:rFonts w:eastAsia="仿宋_GB2312"/>
          <w:sz w:val="32"/>
          <w:szCs w:val="32"/>
        </w:rPr>
        <w:t xml:space="preserve">                                              </w:t>
      </w:r>
    </w:p>
    <w:p>
      <w:pPr>
        <w:numPr>
          <w:ilvl w:val="0"/>
          <w:numId w:val="1"/>
        </w:numPr>
        <w:spacing w:line="560" w:lineRule="exact"/>
        <w:ind w:firstLine="1600" w:firstLineChars="5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下达2025年交通运输领域专项资金（第</w:t>
      </w:r>
      <w:r>
        <w:rPr>
          <w:rFonts w:hint="eastAsia" w:eastAsia="仿宋_GB2312"/>
          <w:sz w:val="32"/>
          <w:szCs w:val="32"/>
          <w:lang w:val="en-US" w:eastAsia="zh-CN"/>
        </w:rPr>
        <w:t>二</w:t>
      </w:r>
      <w:r>
        <w:rPr>
          <w:rFonts w:hint="eastAsia" w:eastAsia="仿宋_GB2312"/>
          <w:sz w:val="32"/>
          <w:szCs w:val="32"/>
        </w:rPr>
        <w:t>批）</w:t>
      </w:r>
    </w:p>
    <w:p>
      <w:pPr>
        <w:numPr>
          <w:ilvl w:val="0"/>
          <w:numId w:val="0"/>
        </w:numPr>
        <w:spacing w:line="560" w:lineRule="exact"/>
        <w:ind w:firstLine="1920" w:firstLineChars="6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绩效目标表</w:t>
      </w:r>
    </w:p>
    <w:p>
      <w:pPr>
        <w:snapToGrid w:val="0"/>
        <w:spacing w:line="560" w:lineRule="exact"/>
        <w:rPr>
          <w:rFonts w:eastAsia="仿宋_GB2312"/>
          <w:sz w:val="32"/>
          <w:szCs w:val="32"/>
        </w:rPr>
      </w:pPr>
    </w:p>
    <w:p>
      <w:pPr>
        <w:snapToGrid w:val="0"/>
        <w:spacing w:line="560" w:lineRule="exact"/>
        <w:rPr>
          <w:rFonts w:eastAsia="仿宋_GB2312"/>
          <w:sz w:val="32"/>
          <w:szCs w:val="32"/>
        </w:rPr>
      </w:pPr>
    </w:p>
    <w:p>
      <w:pPr>
        <w:snapToGrid w:val="0"/>
        <w:spacing w:line="560" w:lineRule="exact"/>
        <w:rPr>
          <w:rFonts w:eastAsia="仿宋_GB2312"/>
          <w:sz w:val="32"/>
          <w:szCs w:val="32"/>
        </w:rPr>
      </w:pPr>
    </w:p>
    <w:p>
      <w:pPr>
        <w:wordWrap w:val="0"/>
        <w:snapToGrid w:val="0"/>
        <w:spacing w:line="560" w:lineRule="exact"/>
        <w:ind w:firstLine="1600" w:firstLineChars="5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南京市交通运输局           南京市财政局</w:t>
      </w:r>
    </w:p>
    <w:p>
      <w:pPr>
        <w:snapToGrid w:val="0"/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   2025年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eastAsia="仿宋_GB2312"/>
          <w:sz w:val="32"/>
          <w:szCs w:val="32"/>
        </w:rPr>
        <w:t>日</w:t>
      </w:r>
    </w:p>
    <w:p>
      <w:pPr>
        <w:spacing w:line="500" w:lineRule="exact"/>
        <w:ind w:firstLine="640" w:firstLineChars="200"/>
        <w:rPr>
          <w:rFonts w:hint="eastAsia" w:eastAsia="仿宋_GB2312"/>
          <w:sz w:val="32"/>
          <w:szCs w:val="32"/>
        </w:rPr>
      </w:pPr>
    </w:p>
    <w:p>
      <w:pPr>
        <w:spacing w:line="500" w:lineRule="exact"/>
        <w:ind w:firstLine="600"/>
        <w:rPr>
          <w:rFonts w:hint="eastAsia" w:eastAsia="仿宋_GB2312"/>
          <w:sz w:val="32"/>
          <w:szCs w:val="32"/>
        </w:rPr>
      </w:pPr>
    </w:p>
    <w:p>
      <w:pPr>
        <w:spacing w:line="500" w:lineRule="exact"/>
        <w:ind w:firstLine="1232" w:firstLineChars="385"/>
        <w:rPr>
          <w:rFonts w:hint="eastAsia" w:eastAsia="仿宋_GB2312"/>
          <w:sz w:val="32"/>
          <w:szCs w:val="32"/>
        </w:rPr>
      </w:pPr>
    </w:p>
    <w:p>
      <w:pPr>
        <w:spacing w:line="500" w:lineRule="exact"/>
        <w:rPr>
          <w:rFonts w:hint="eastAsia" w:eastAsia="仿宋_GB2312"/>
          <w:sz w:val="32"/>
          <w:szCs w:val="32"/>
        </w:rPr>
      </w:pPr>
    </w:p>
    <w:tbl>
      <w:tblPr>
        <w:tblStyle w:val="9"/>
        <w:tblpPr w:leftFromText="180" w:rightFromText="180" w:vertAnchor="text" w:horzAnchor="page" w:tblpX="1688" w:tblpY="1146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000000" w:sz="8" w:space="0"/>
          <w:right w:val="none" w:color="auto" w:sz="0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8861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  <w:tl2br w:val="nil"/>
              <w:tr2bl w:val="nil"/>
            </w:tcBorders>
          </w:tcPr>
          <w:p>
            <w:pPr>
              <w:autoSpaceDE w:val="0"/>
              <w:autoSpaceDN w:val="0"/>
              <w:spacing w:line="560" w:lineRule="atLeast"/>
              <w:jc w:val="left"/>
              <w:rPr>
                <w:rFonts w:hint="eastAsia"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  南京市交通运输局办公室               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 202</w:t>
            </w:r>
            <w:r>
              <w:rPr>
                <w:rFonts w:eastAsia="仿宋_GB2312"/>
                <w:kern w:val="0"/>
                <w:sz w:val="28"/>
                <w:szCs w:val="28"/>
              </w:rPr>
              <w:t>5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年</w:t>
            </w: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月</w:t>
            </w: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日印发</w:t>
            </w:r>
          </w:p>
        </w:tc>
      </w:tr>
    </w:tbl>
    <w:p>
      <w:pPr>
        <w:pStyle w:val="6"/>
        <w:snapToGrid w:val="0"/>
        <w:spacing w:line="400" w:lineRule="exact"/>
        <w:rPr>
          <w:rFonts w:hint="eastAsia" w:ascii="Times New Roman" w:hAnsi="Times New Roman"/>
        </w:rPr>
      </w:pPr>
    </w:p>
    <w:p>
      <w:pPr>
        <w:rPr>
          <w:rFonts w:hint="eastAsia"/>
        </w:rPr>
      </w:pPr>
    </w:p>
    <w:p/>
    <w:p>
      <w:pPr>
        <w:jc w:val="left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附件2</w:t>
      </w:r>
    </w:p>
    <w:p>
      <w:pPr>
        <w:spacing w:line="560" w:lineRule="exact"/>
        <w:jc w:val="center"/>
        <w:rPr>
          <w:rFonts w:hint="eastAsia"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</w:rPr>
        <w:t>下达2025年交通运输领域专项资金（第</w:t>
      </w:r>
      <w:r>
        <w:rPr>
          <w:rFonts w:hint="eastAsia" w:eastAsia="方正小标宋_GBK"/>
          <w:sz w:val="36"/>
          <w:szCs w:val="36"/>
          <w:lang w:val="en-US" w:eastAsia="zh-CN"/>
        </w:rPr>
        <w:t>二</w:t>
      </w:r>
      <w:r>
        <w:rPr>
          <w:rFonts w:hint="eastAsia" w:eastAsia="方正小标宋_GBK"/>
          <w:sz w:val="36"/>
          <w:szCs w:val="36"/>
        </w:rPr>
        <w:t>批）</w:t>
      </w:r>
    </w:p>
    <w:p>
      <w:pPr>
        <w:spacing w:line="560" w:lineRule="exact"/>
        <w:jc w:val="center"/>
        <w:rPr>
          <w:rFonts w:hint="eastAsia" w:eastAsia="仿宋_GB2312"/>
          <w:sz w:val="32"/>
          <w:szCs w:val="32"/>
        </w:rPr>
      </w:pPr>
      <w:r>
        <w:rPr>
          <w:rFonts w:hint="eastAsia" w:eastAsia="方正小标宋_GBK"/>
          <w:sz w:val="36"/>
          <w:szCs w:val="36"/>
        </w:rPr>
        <w:t>拨付明细表</w:t>
      </w:r>
    </w:p>
    <w:p>
      <w:pPr>
        <w:jc w:val="center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32"/>
          <w:szCs w:val="32"/>
        </w:rPr>
        <w:t xml:space="preserve">                                 </w:t>
      </w:r>
      <w:r>
        <w:rPr>
          <w:rFonts w:eastAsia="仿宋_GB2312"/>
          <w:sz w:val="32"/>
          <w:szCs w:val="32"/>
        </w:rPr>
        <w:t xml:space="preserve">           </w:t>
      </w:r>
      <w:r>
        <w:rPr>
          <w:rFonts w:hint="eastAsia" w:eastAsia="仿宋_GB2312"/>
          <w:sz w:val="28"/>
          <w:szCs w:val="28"/>
        </w:rPr>
        <w:t>单位：万元</w:t>
      </w:r>
    </w:p>
    <w:tbl>
      <w:tblPr>
        <w:tblStyle w:val="9"/>
        <w:tblW w:w="90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2919"/>
        <w:gridCol w:w="1175"/>
        <w:gridCol w:w="794"/>
        <w:gridCol w:w="1276"/>
        <w:gridCol w:w="21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2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省下达文号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省指标下达数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本次拨付数</w:t>
            </w:r>
          </w:p>
        </w:tc>
        <w:tc>
          <w:tcPr>
            <w:tcW w:w="2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项目实施单位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7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cs="宋体"/>
                <w:kern w:val="0"/>
                <w:sz w:val="24"/>
                <w:szCs w:val="24"/>
              </w:rPr>
            </w:pPr>
            <w:bookmarkStart w:id="5" w:name="OLE_LINK3" w:colFirst="1" w:colLast="5"/>
            <w:r>
              <w:rPr>
                <w:rFonts w:hint="eastAsia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2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>G205（K1247.314-K1277.564）安全提升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苏财建〔202</w:t>
            </w: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cs="宋体"/>
                <w:kern w:val="0"/>
                <w:sz w:val="24"/>
                <w:szCs w:val="24"/>
              </w:rPr>
              <w:t>〕</w:t>
            </w: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>51</w:t>
            </w:r>
            <w:r>
              <w:rPr>
                <w:rFonts w:hint="eastAsia" w:cs="宋体"/>
                <w:kern w:val="0"/>
                <w:sz w:val="24"/>
                <w:szCs w:val="24"/>
              </w:rPr>
              <w:t>号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>3177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>3177</w:t>
            </w:r>
          </w:p>
        </w:tc>
        <w:tc>
          <w:tcPr>
            <w:tcW w:w="2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市公路事业发展中心</w:t>
            </w:r>
          </w:p>
        </w:tc>
      </w:tr>
      <w:bookmarkEnd w:id="5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7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>320118-（G235-1）G235桥梁群结构监测系统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苏财建〔202</w:t>
            </w: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cs="宋体"/>
                <w:kern w:val="0"/>
                <w:sz w:val="24"/>
                <w:szCs w:val="24"/>
              </w:rPr>
              <w:t>〕</w:t>
            </w: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>51</w:t>
            </w:r>
            <w:r>
              <w:rPr>
                <w:rFonts w:hint="eastAsia" w:cs="宋体"/>
                <w:kern w:val="0"/>
                <w:sz w:val="24"/>
                <w:szCs w:val="24"/>
              </w:rPr>
              <w:t>号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>85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>85</w:t>
            </w:r>
          </w:p>
        </w:tc>
        <w:tc>
          <w:tcPr>
            <w:tcW w:w="2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市公路事业发展中心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合计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>3262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>3262</w:t>
            </w:r>
          </w:p>
        </w:tc>
        <w:tc>
          <w:tcPr>
            <w:tcW w:w="2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　</w:t>
            </w:r>
          </w:p>
        </w:tc>
      </w:tr>
    </w:tbl>
    <w:p>
      <w:pPr>
        <w:snapToGrid w:val="0"/>
        <w:spacing w:line="560" w:lineRule="exact"/>
        <w:ind w:right="1179"/>
        <w:jc w:val="right"/>
        <w:rPr>
          <w:rFonts w:hint="eastAsia" w:eastAsia="仿宋_GB2312"/>
          <w:sz w:val="32"/>
          <w:szCs w:val="32"/>
        </w:rPr>
      </w:pPr>
    </w:p>
    <w:p>
      <w:pPr>
        <w:spacing w:line="560" w:lineRule="exact"/>
        <w:ind w:left="1155" w:leftChars="550" w:firstLine="800" w:firstLineChars="250"/>
        <w:rPr>
          <w:rFonts w:hint="eastAsia" w:eastAsia="仿宋_GB2312"/>
          <w:sz w:val="32"/>
          <w:szCs w:val="32"/>
        </w:rPr>
      </w:pPr>
    </w:p>
    <w:p>
      <w:pPr>
        <w:spacing w:line="560" w:lineRule="exact"/>
        <w:ind w:left="1155" w:leftChars="550" w:firstLine="800" w:firstLineChars="250"/>
        <w:rPr>
          <w:rFonts w:hint="eastAsia" w:eastAsia="仿宋_GB2312"/>
          <w:sz w:val="32"/>
          <w:szCs w:val="32"/>
        </w:rPr>
      </w:pPr>
    </w:p>
    <w:p>
      <w:pPr>
        <w:spacing w:line="560" w:lineRule="exact"/>
        <w:ind w:left="1155" w:leftChars="550" w:firstLine="800" w:firstLineChars="250"/>
        <w:rPr>
          <w:rFonts w:hint="eastAsia" w:eastAsia="仿宋_GB2312"/>
          <w:sz w:val="32"/>
          <w:szCs w:val="32"/>
        </w:rPr>
      </w:pPr>
    </w:p>
    <w:p>
      <w:pPr>
        <w:spacing w:line="560" w:lineRule="exact"/>
        <w:ind w:left="1155" w:leftChars="550" w:firstLine="800" w:firstLineChars="250"/>
        <w:rPr>
          <w:rFonts w:hint="eastAsia" w:eastAsia="仿宋_GB2312"/>
          <w:sz w:val="32"/>
          <w:szCs w:val="32"/>
        </w:rPr>
      </w:pPr>
    </w:p>
    <w:p>
      <w:pPr>
        <w:spacing w:line="560" w:lineRule="exact"/>
        <w:ind w:left="1155" w:leftChars="550" w:firstLine="800" w:firstLineChars="250"/>
        <w:rPr>
          <w:rFonts w:hint="eastAsia" w:eastAsia="仿宋_GB2312"/>
          <w:sz w:val="32"/>
          <w:szCs w:val="32"/>
        </w:rPr>
      </w:pPr>
    </w:p>
    <w:p>
      <w:pPr>
        <w:spacing w:line="560" w:lineRule="exact"/>
        <w:ind w:left="1155" w:leftChars="550" w:firstLine="800" w:firstLineChars="250"/>
        <w:rPr>
          <w:rFonts w:hint="eastAsia" w:eastAsia="仿宋_GB2312"/>
          <w:sz w:val="32"/>
          <w:szCs w:val="32"/>
        </w:rPr>
      </w:pPr>
    </w:p>
    <w:p>
      <w:pPr>
        <w:spacing w:line="560" w:lineRule="exact"/>
        <w:ind w:left="1155" w:leftChars="550" w:firstLine="800" w:firstLineChars="250"/>
        <w:rPr>
          <w:rFonts w:eastAsia="仿宋_GB2312"/>
          <w:sz w:val="32"/>
          <w:szCs w:val="32"/>
        </w:rPr>
      </w:pPr>
    </w:p>
    <w:p>
      <w:pPr>
        <w:spacing w:line="560" w:lineRule="exact"/>
        <w:ind w:left="1155" w:leftChars="550" w:firstLine="800" w:firstLineChars="250"/>
        <w:rPr>
          <w:rFonts w:eastAsia="仿宋_GB2312"/>
          <w:sz w:val="32"/>
          <w:szCs w:val="32"/>
        </w:rPr>
      </w:pPr>
    </w:p>
    <w:p>
      <w:pPr>
        <w:spacing w:line="560" w:lineRule="exact"/>
        <w:ind w:left="1155" w:leftChars="550" w:firstLine="800" w:firstLineChars="250"/>
        <w:rPr>
          <w:rFonts w:hint="eastAsia" w:eastAsia="仿宋_GB2312"/>
          <w:sz w:val="32"/>
          <w:szCs w:val="32"/>
        </w:rPr>
      </w:pPr>
    </w:p>
    <w:p>
      <w:pPr>
        <w:spacing w:line="560" w:lineRule="exact"/>
        <w:ind w:left="1155" w:leftChars="550" w:firstLine="800" w:firstLineChars="250"/>
        <w:rPr>
          <w:rFonts w:hint="eastAsia" w:eastAsia="仿宋_GB2312"/>
          <w:sz w:val="32"/>
          <w:szCs w:val="32"/>
        </w:rPr>
      </w:pPr>
    </w:p>
    <w:p>
      <w:pPr>
        <w:spacing w:line="560" w:lineRule="exact"/>
        <w:ind w:left="1155" w:leftChars="550" w:firstLine="800" w:firstLineChars="250"/>
        <w:rPr>
          <w:rFonts w:hint="eastAsia" w:eastAsia="仿宋_GB2312"/>
          <w:sz w:val="32"/>
          <w:szCs w:val="32"/>
        </w:rPr>
      </w:pPr>
    </w:p>
    <w:p>
      <w:pPr>
        <w:spacing w:line="560" w:lineRule="exact"/>
        <w:ind w:left="1155" w:leftChars="550" w:firstLine="800" w:firstLineChars="250"/>
        <w:rPr>
          <w:rFonts w:hint="eastAsia" w:eastAsia="仿宋_GB2312"/>
          <w:sz w:val="32"/>
          <w:szCs w:val="32"/>
        </w:rPr>
      </w:pPr>
    </w:p>
    <w:p>
      <w:pPr>
        <w:spacing w:line="560" w:lineRule="exact"/>
        <w:ind w:left="1155" w:leftChars="550" w:firstLine="800" w:firstLineChars="250"/>
        <w:rPr>
          <w:rFonts w:hint="eastAsia" w:eastAsia="仿宋_GB2312"/>
          <w:sz w:val="32"/>
          <w:szCs w:val="32"/>
        </w:rPr>
      </w:pPr>
    </w:p>
    <w:p>
      <w:pPr>
        <w:jc w:val="left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附件3</w:t>
      </w:r>
    </w:p>
    <w:p>
      <w:pPr>
        <w:spacing w:line="560" w:lineRule="exact"/>
        <w:jc w:val="center"/>
        <w:rPr>
          <w:rFonts w:hint="eastAsia"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</w:rPr>
        <w:t>下达2025年交通运输领域专项资金（第</w:t>
      </w:r>
      <w:r>
        <w:rPr>
          <w:rFonts w:hint="eastAsia" w:eastAsia="方正小标宋_GBK"/>
          <w:sz w:val="36"/>
          <w:szCs w:val="36"/>
          <w:lang w:val="en-US" w:eastAsia="zh-CN"/>
        </w:rPr>
        <w:t>二</w:t>
      </w:r>
      <w:r>
        <w:rPr>
          <w:rFonts w:hint="eastAsia" w:eastAsia="方正小标宋_GBK"/>
          <w:sz w:val="36"/>
          <w:szCs w:val="36"/>
        </w:rPr>
        <w:t>批）</w:t>
      </w:r>
    </w:p>
    <w:p>
      <w:pPr>
        <w:spacing w:line="560" w:lineRule="exact"/>
        <w:jc w:val="center"/>
        <w:rPr>
          <w:rFonts w:hint="eastAsia"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</w:rPr>
        <w:t>绩效目标表</w:t>
      </w:r>
    </w:p>
    <w:tbl>
      <w:tblPr>
        <w:tblStyle w:val="9"/>
        <w:tblpPr w:leftFromText="180" w:rightFromText="180" w:vertAnchor="text" w:horzAnchor="page" w:tblpX="1314" w:tblpY="486"/>
        <w:tblOverlap w:val="never"/>
        <w:tblW w:w="9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2"/>
        <w:gridCol w:w="2410"/>
        <w:gridCol w:w="4394"/>
        <w:gridCol w:w="1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专项名称</w:t>
            </w:r>
          </w:p>
        </w:tc>
        <w:tc>
          <w:tcPr>
            <w:tcW w:w="56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2025年交通运输领域专项资金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39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本次下达中央财政资金：</w:t>
            </w:r>
          </w:p>
          <w:p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（万元）</w:t>
            </w:r>
          </w:p>
        </w:tc>
        <w:tc>
          <w:tcPr>
            <w:tcW w:w="56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>3262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一级指标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二级指标</w:t>
            </w:r>
          </w:p>
        </w:tc>
        <w:tc>
          <w:tcPr>
            <w:tcW w:w="43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三级指标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产出指标</w:t>
            </w:r>
          </w:p>
        </w:tc>
        <w:tc>
          <w:tcPr>
            <w:tcW w:w="241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数量指标</w:t>
            </w:r>
          </w:p>
        </w:tc>
        <w:tc>
          <w:tcPr>
            <w:tcW w:w="43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支持国家公路长大桥隧（桥隧群）结构监测系统（个）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43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支持国家公路安全提升工程项目（个）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dxa"/>
            <w:vMerge w:val="continue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质量指标</w:t>
            </w:r>
          </w:p>
        </w:tc>
        <w:tc>
          <w:tcPr>
            <w:tcW w:w="43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</w:rPr>
              <w:t>完工项目验收合格率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dxa"/>
            <w:vMerge w:val="continue"/>
            <w:tcBorders>
              <w:tl2br w:val="nil"/>
              <w:tr2bl w:val="nil"/>
            </w:tcBorders>
            <w:vAlign w:val="center"/>
          </w:tcPr>
          <w:p>
            <w:bookmarkStart w:id="6" w:name="OLE_LINK6" w:colFirst="2" w:colLast="3"/>
          </w:p>
        </w:tc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</w:rPr>
              <w:t>时效指标</w:t>
            </w:r>
          </w:p>
        </w:tc>
        <w:tc>
          <w:tcPr>
            <w:tcW w:w="43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按期完成投资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是</w:t>
            </w:r>
          </w:p>
        </w:tc>
      </w:tr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dxa"/>
            <w:vMerge w:val="continue"/>
            <w:tcBorders>
              <w:tl2br w:val="nil"/>
              <w:tr2bl w:val="nil"/>
            </w:tcBorders>
            <w:vAlign w:val="center"/>
          </w:tcPr>
          <w:p>
            <w:bookmarkStart w:id="7" w:name="OLE_LINK8" w:colFirst="1" w:colLast="3"/>
          </w:p>
        </w:tc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bookmarkStart w:id="8" w:name="OLE_LINK7"/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成本</w:t>
            </w:r>
            <w:r>
              <w:rPr>
                <w:rFonts w:hint="eastAsia" w:eastAsia="仿宋_GB2312"/>
                <w:sz w:val="24"/>
                <w:szCs w:val="24"/>
              </w:rPr>
              <w:t>指标</w:t>
            </w:r>
            <w:bookmarkEnd w:id="8"/>
          </w:p>
        </w:tc>
        <w:tc>
          <w:tcPr>
            <w:tcW w:w="43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项目支出符合概算批复的标准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是</w:t>
            </w:r>
          </w:p>
        </w:tc>
      </w:tr>
      <w:bookmark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效益指标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经济</w:t>
            </w:r>
            <w:r>
              <w:rPr>
                <w:rFonts w:hint="eastAsia" w:eastAsia="仿宋_GB2312"/>
                <w:sz w:val="24"/>
                <w:szCs w:val="24"/>
              </w:rPr>
              <w:t>效益指标</w:t>
            </w:r>
          </w:p>
        </w:tc>
        <w:tc>
          <w:tcPr>
            <w:tcW w:w="43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对经济发展的促进作用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明显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dxa"/>
            <w:vMerge w:val="continue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241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bookmarkStart w:id="9" w:name="OLE_LINK9"/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社会</w:t>
            </w:r>
            <w:r>
              <w:rPr>
                <w:rFonts w:hint="eastAsia" w:eastAsia="仿宋_GB2312"/>
                <w:sz w:val="24"/>
                <w:szCs w:val="24"/>
              </w:rPr>
              <w:t>效益指标</w:t>
            </w:r>
            <w:bookmarkEnd w:id="9"/>
          </w:p>
        </w:tc>
        <w:tc>
          <w:tcPr>
            <w:tcW w:w="43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基本公共服务水平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提升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dxa"/>
            <w:vMerge w:val="continue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241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43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公路水路安全水平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提升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dxa"/>
            <w:vMerge w:val="continue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生态效益指标</w:t>
            </w:r>
          </w:p>
        </w:tc>
        <w:tc>
          <w:tcPr>
            <w:tcW w:w="43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交通建设符合环评审批要求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dxa"/>
            <w:vMerge w:val="continue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可持续影响指标</w:t>
            </w:r>
          </w:p>
        </w:tc>
        <w:tc>
          <w:tcPr>
            <w:tcW w:w="43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新改建项目适应未来一定时期内交通需求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满意度指标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服务对象满意度</w:t>
            </w:r>
          </w:p>
        </w:tc>
        <w:tc>
          <w:tcPr>
            <w:tcW w:w="43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改善通行服务水平群众满意度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≥</w:t>
            </w:r>
            <w:r>
              <w:rPr>
                <w:rFonts w:hint="eastAsia" w:eastAsia="仿宋_GB2312"/>
                <w:sz w:val="24"/>
                <w:szCs w:val="24"/>
              </w:rPr>
              <w:t>80%</w:t>
            </w:r>
          </w:p>
        </w:tc>
      </w:tr>
    </w:tbl>
    <w:p>
      <w:pPr>
        <w:rPr>
          <w:rFonts w:hint="eastAsia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7" w:h="16840"/>
      <w:pgMar w:top="1985" w:right="1474" w:bottom="1985" w:left="1588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="1683" w:wrap="around" w:vAnchor="text" w:hAnchor="page" w:x="8729" w:y="3"/>
      <w:wordWrap w:val="0"/>
      <w:jc w:val="right"/>
      <w:rPr>
        <w:rStyle w:val="11"/>
        <w:rFonts w:hint="eastAsia"/>
        <w:sz w:val="28"/>
      </w:rPr>
    </w:pPr>
    <w:r>
      <w:rPr>
        <w:rStyle w:val="11"/>
        <w:rFonts w:hint="eastAsia"/>
        <w:sz w:val="28"/>
      </w:rPr>
      <w:t>—</w:t>
    </w:r>
    <w:r>
      <w:rPr>
        <w:rStyle w:val="11"/>
        <w:sz w:val="28"/>
      </w:rPr>
      <w:t xml:space="preserve"> </w:t>
    </w:r>
    <w:r>
      <w:rPr>
        <w:rStyle w:val="11"/>
        <w:sz w:val="28"/>
      </w:rPr>
      <w:fldChar w:fldCharType="begin"/>
    </w:r>
    <w:r>
      <w:rPr>
        <w:rStyle w:val="11"/>
        <w:sz w:val="28"/>
      </w:rPr>
      <w:instrText xml:space="preserve">PAGE  </w:instrText>
    </w:r>
    <w:r>
      <w:rPr>
        <w:rStyle w:val="11"/>
        <w:sz w:val="28"/>
      </w:rPr>
      <w:fldChar w:fldCharType="separate"/>
    </w:r>
    <w:r>
      <w:rPr>
        <w:rStyle w:val="11"/>
        <w:sz w:val="28"/>
        <w:lang w:val="en-US" w:eastAsia="zh-CN"/>
      </w:rPr>
      <w:t>2</w:t>
    </w:r>
    <w:r>
      <w:rPr>
        <w:rStyle w:val="11"/>
        <w:sz w:val="28"/>
      </w:rPr>
      <w:fldChar w:fldCharType="end"/>
    </w:r>
    <w:r>
      <w:rPr>
        <w:rStyle w:val="11"/>
        <w:sz w:val="28"/>
      </w:rPr>
      <w:t xml:space="preserve"> </w:t>
    </w:r>
    <w:r>
      <w:rPr>
        <w:rStyle w:val="11"/>
        <w:rFonts w:hint="eastAsia"/>
        <w:sz w:val="28"/>
      </w:rPr>
      <w:t xml:space="preserve">—  </w:t>
    </w:r>
  </w:p>
  <w:p>
    <w:pPr>
      <w:pStyle w:val="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rPr>
        <w:rStyle w:val="11"/>
        <w:rFonts w:hint="eastAsia"/>
        <w:sz w:val="28"/>
      </w:rPr>
    </w:pPr>
    <w:r>
      <w:rPr>
        <w:rStyle w:val="11"/>
        <w:rFonts w:hint="eastAsia"/>
        <w:sz w:val="28"/>
      </w:rPr>
      <w:t xml:space="preserve">  —</w:t>
    </w:r>
    <w:r>
      <w:rPr>
        <w:rStyle w:val="11"/>
        <w:sz w:val="28"/>
      </w:rPr>
      <w:t xml:space="preserve"> </w:t>
    </w:r>
    <w:r>
      <w:rPr>
        <w:rStyle w:val="11"/>
        <w:sz w:val="28"/>
      </w:rPr>
      <w:fldChar w:fldCharType="begin"/>
    </w:r>
    <w:r>
      <w:rPr>
        <w:rStyle w:val="11"/>
        <w:sz w:val="28"/>
      </w:rPr>
      <w:instrText xml:space="preserve">PAGE  </w:instrText>
    </w:r>
    <w:r>
      <w:rPr>
        <w:rStyle w:val="11"/>
        <w:sz w:val="28"/>
      </w:rPr>
      <w:fldChar w:fldCharType="separate"/>
    </w:r>
    <w:r>
      <w:rPr>
        <w:rStyle w:val="11"/>
        <w:sz w:val="28"/>
        <w:lang w:val="en-US" w:eastAsia="zh-CN"/>
      </w:rPr>
      <w:t>2</w:t>
    </w:r>
    <w:r>
      <w:rPr>
        <w:rStyle w:val="11"/>
        <w:sz w:val="28"/>
      </w:rPr>
      <w:fldChar w:fldCharType="end"/>
    </w:r>
    <w:r>
      <w:rPr>
        <w:rStyle w:val="11"/>
        <w:sz w:val="28"/>
      </w:rPr>
      <w:t xml:space="preserve"> </w:t>
    </w:r>
    <w:r>
      <w:rPr>
        <w:rStyle w:val="11"/>
        <w:rFonts w:hint="eastAsia"/>
        <w:sz w:val="28"/>
      </w:rPr>
      <w:t>—</w:t>
    </w:r>
  </w:p>
  <w:p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AD2619"/>
    <w:multiLevelType w:val="singleLevel"/>
    <w:tmpl w:val="ECAD2619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splitPgBreakAndParaMark/>
    <w:compatSetting w:name="compatibilityMode" w:uri="http://schemas.microsoft.com/office/word" w:val="11"/>
  </w:compat>
  <w:rsids>
    <w:rsidRoot w:val="00000000"/>
    <w:rsid w:val="283F745E"/>
    <w:rsid w:val="587C061F"/>
    <w:rsid w:val="66E7088C"/>
    <w:rsid w:val="73097D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hAnsi="Times New Roman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qFormat/>
    <w:uiPriority w:val="0"/>
    <w:pPr>
      <w:shd w:val="clear" w:color="auto" w:fill="000080"/>
    </w:pPr>
  </w:style>
  <w:style w:type="paragraph" w:styleId="6">
    <w:name w:val="Date"/>
    <w:basedOn w:val="1"/>
    <w:next w:val="1"/>
    <w:qFormat/>
    <w:uiPriority w:val="0"/>
    <w:rPr>
      <w:rFonts w:ascii="仿宋_GB2312" w:eastAsia="仿宋_GB2312"/>
      <w:sz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11">
    <w:name w:val="page number"/>
    <w:basedOn w:val="10"/>
    <w:qFormat/>
    <w:uiPriority w:val="0"/>
  </w:style>
  <w:style w:type="paragraph" w:customStyle="1" w:styleId="12">
    <w:name w:val="Char Char Char Char"/>
    <w:basedOn w:val="5"/>
    <w:qFormat/>
    <w:uiPriority w:val="0"/>
    <w:rPr>
      <w:rFonts w:ascii="Tahoma" w:hAnsi="Tahoma" w:cs="Tahoma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主题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主题">
      <a:fillStyleLst>
        <a:solidFill>
          <a:schemeClr val="phClr"/>
        </a:solidFill>
        <a:gradFill/>
        <a:gradFill/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/>
        <a:gradFill/>
      </a:bgFillStyleLst>
    </a:fmtScheme>
  </a:themeElements>
  <a:objectDefaults>
    <a:spDef>
      <a:spPr>
        <a:solidFill>
          <a:srgbClr val="FFFFFF"/>
        </a:solidFill>
        <a:ln w="9525" cap="flat" cmpd="sng">
          <a:solidFill>
            <a:srgbClr val="000000"/>
          </a:solidFill>
          <a:prstDash val="solid"/>
          <a:miter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 cap="flat" cmpd="sng">
          <a:solidFill>
            <a:srgbClr val="000000"/>
          </a:solidFill>
          <a:prstDash val="solid"/>
          <a:miter/>
        </a:ln>
      </a:spPr>
      <a:bodyPr/>
      <a:lstStyle/>
      <a:style>
        <a:lnRef idx="1">
          <a:schemeClr val="accent4">
            <a:shade val="50000"/>
          </a:schemeClr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NJJT</Company>
  <Pages>4</Pages>
  <Words>810</Words>
  <Characters>901</Characters>
  <Lines>126</Lines>
  <Paragraphs>74</Paragraphs>
  <TotalTime>1</TotalTime>
  <ScaleCrop>false</ScaleCrop>
  <LinksUpToDate>false</LinksUpToDate>
  <CharactersWithSpaces>1056</CharactersWithSpaces>
  <Application>WPS Office_11.8.2.12055_F1E327BC-269C-435d-A152-05C5408002CA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2017-01-04T02:28:00Z</dcterms:created>
  <dc:creator>徐卫民</dc:creator>
  <cp:lastModifiedBy>Admin</cp:lastModifiedBy>
  <cp:lastPrinted>2025-01-07T07:16:00Z</cp:lastPrinted>
  <dcterms:modified xsi:type="dcterms:W3CDTF">2026-01-23T02:14:42Z</dcterms:modified>
  <dc:title>文件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A47EF90052EB4CF89D0C5314415A4CD0</vt:lpwstr>
  </property>
</Properties>
</file>