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napToGrid w:val="0"/>
        <w:spacing w:line="560" w:lineRule="exact"/>
        <w:ind w:left="-14"/>
        <w:jc w:val="center"/>
        <w:rPr>
          <w:rFonts w:eastAsia="仿宋_GB2312" w:hint="eastAsia"/>
          <w:sz w:val="32"/>
        </w:rPr>
      </w:pPr>
    </w:p>
    <w:tbl>
      <w:tblPr>
        <w:tblpPr w:leftFromText="180" w:rightFromText="180" w:vertAnchor="text" w:horzAnchor="page" w:tblpX="8776" w:tblpY="735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</w:tblGrid>
      <w:tr>
        <w:tc>
          <w:tcPr>
            <w:tcW w:w="21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ind w:leftChars="-20" w:left="-42"/>
              <w:jc w:val="center"/>
              <w:rPr>
                <w:b/>
                <w:color w:val="FF0000"/>
                <w:sz w:val="84"/>
                <w:szCs w:val="84"/>
              </w:rPr>
            </w:pPr>
            <w:r>
              <w:rPr>
                <w:rFonts w:hint="eastAsia"/>
                <w:b/>
                <w:color w:val="FF0000"/>
                <w:sz w:val="84"/>
                <w:szCs w:val="84"/>
              </w:rPr>
              <w:t>文件</w:t>
            </w:r>
          </w:p>
        </w:tc>
      </w:tr>
    </w:tbl>
    <w:p>
      <w:pPr>
        <w:ind w:rightChars="910" w:right="1911"/>
        <w:jc w:val="distribute"/>
        <w:rPr>
          <w:rFonts w:hint="eastAsia"/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南京市交通运输局</w:t>
      </w:r>
    </w:p>
    <w:p>
      <w:pPr>
        <w:ind w:rightChars="910" w:right="1911"/>
        <w:jc w:val="distribute"/>
        <w:rPr>
          <w:rFonts w:hint="eastAsia"/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</w:t>
      </w:r>
      <w:r>
        <w:rPr>
          <w:b/>
          <w:color w:val="FF0000"/>
          <w:sz w:val="84"/>
          <w:szCs w:val="84"/>
        </w:rPr>
        <w:t>财政</w:t>
      </w:r>
      <w:r>
        <w:rPr>
          <w:rFonts w:hint="eastAsia"/>
          <w:b/>
          <w:color w:val="FF0000"/>
          <w:sz w:val="84"/>
          <w:szCs w:val="84"/>
        </w:rPr>
        <w:t>局</w:t>
      </w:r>
    </w:p>
    <w:p>
      <w:pPr>
        <w:snapToGrid w:val="0"/>
        <w:spacing w:line="560" w:lineRule="exact"/>
        <w:ind w:left="-14"/>
        <w:jc w:val="center"/>
        <w:rPr>
          <w:rFonts w:eastAsia="仿宋_GB2312" w:hint="eastAsia"/>
          <w:sz w:val="32"/>
        </w:rPr>
      </w:pPr>
    </w:p>
    <w:p>
      <w:pPr>
        <w:snapToGrid w:val="0"/>
        <w:spacing w:line="400" w:lineRule="exact"/>
        <w:jc w:val="center"/>
        <w:rPr>
          <w:rFonts w:eastAsia="仿宋_GB2312" w:hint="eastAsia"/>
          <w:sz w:val="32"/>
        </w:rPr>
      </w:pPr>
    </w:p>
    <w:p>
      <w:pPr>
        <w:jc w:val="center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宁交</w:t>
      </w:r>
      <w:r>
        <w:rPr>
          <w:rFonts w:eastAsia="仿宋_GB2312"/>
          <w:sz w:val="32"/>
          <w:szCs w:val="32"/>
        </w:rPr>
        <w:t>规</w:t>
      </w:r>
      <w:r>
        <w:rPr>
          <w:rFonts w:eastAsia="仿宋_GB2312" w:hint="eastAsia"/>
          <w:color w:val="000000"/>
          <w:sz w:val="32"/>
          <w:szCs w:val="32"/>
        </w:rPr>
        <w:t>〔202</w:t>
      </w:r>
      <w:r>
        <w:rPr>
          <w:rFonts w:eastAsia="仿宋_GB2312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号</w:t>
      </w:r>
    </w:p>
    <w:p>
      <w:pPr>
        <w:jc w:val="center"/>
        <w:rPr>
          <w:rFonts w:eastAsia="仿宋_GB2312" w:hint="eastAsia"/>
          <w:sz w:val="32"/>
        </w:rPr>
      </w:pPr>
      <w:r>
        <w:rPr>
          <w:rFonts w:eastAsia="仿宋_GB2312" w:hint="eastAsia"/>
          <w:lang w:val="en-US" w:eastAsia="zh-CN"/>
        </w:rPr>
        <mc:AlternateContent>
          <mc:Choice Requires="wps">
            <w:drawing>
              <wp:anchor distT="0" distB="0" distL="114298" distR="114298" simplePos="0" relativeHeight="12" behindDoc="0" locked="0" layoutInCell="1" hidden="0" allowOverlap="1">
                <wp:simplePos x="0" y="0"/>
                <wp:positionH relativeFrom="column">
                  <wp:posOffset>133347</wp:posOffset>
                </wp:positionH>
                <wp:positionV relativeFrom="paragraph">
                  <wp:posOffset>223548</wp:posOffset>
                </wp:positionV>
                <wp:extent cx="5615940" cy="0"/>
                <wp:effectExtent l="0" t="0" r="0" b="0"/>
                <wp:wrapNone/>
                <wp:docPr id="1" name="直线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615940" cy="0"/>
                        </a:xfrm>
                        <a:prstGeom prst="line"/>
                        <a:noFill/>
                        <a:ln w="9525" cmpd="sng" cap="flat">
                          <a:solidFill>
                            <a:srgbClr val="FF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2" o:spid="_x0000_s2" from="10.49984pt,17.602232pt" to="452.69986pt,17.602232pt" filled="f" stroked="t" style="position:absolute;z-index:12;mso-position-horizontal:absolute;mso-position-vertical:absolute;mso-wrap-distance-left:8.999843pt;mso-wrap-distance-right:8.999843pt;visibility:visible;">
                <v:stroke color="#FF0000"/>
              </v:line>
            </w:pict>
          </mc:Fallback>
        </mc:AlternateContent>
      </w:r>
    </w:p>
    <w:p>
      <w:pPr>
        <w:snapToGrid w:val="0"/>
        <w:spacing w:line="560" w:lineRule="exact"/>
        <w:jc w:val="center"/>
        <w:rPr>
          <w:rFonts w:eastAsia="仿宋_GB2312" w:hint="eastAsia"/>
          <w:sz w:val="32"/>
        </w:rPr>
      </w:pPr>
    </w:p>
    <w:p>
      <w:pPr>
        <w:snapToGrid w:val="0"/>
        <w:spacing w:line="560" w:lineRule="exact"/>
        <w:jc w:val="center"/>
        <w:rPr>
          <w:rFonts w:eastAsia="仿宋_GB2312" w:hint="eastAsia"/>
          <w:sz w:val="32"/>
        </w:rPr>
      </w:pPr>
    </w:p>
    <w:p>
      <w:pPr>
        <w:spacing w:line="560" w:lineRule="exact"/>
        <w:jc w:val="center"/>
        <w:rPr>
          <w:rFonts w:eastAsia="方正小标宋_GBK" w:hint="eastAsia"/>
          <w:sz w:val="44"/>
          <w:szCs w:val="44"/>
        </w:rPr>
      </w:pPr>
      <w:r>
        <w:rPr>
          <w:rFonts w:eastAsia="方正小标宋_GBK"/>
          <w:sz w:val="44"/>
          <w:szCs w:val="44"/>
        </w:rPr>
        <w:t>关于下达</w:t>
      </w:r>
      <w:r>
        <w:rPr>
          <w:rFonts w:eastAsia="方正小标宋_GBK" w:hint="eastAsia"/>
          <w:sz w:val="44"/>
          <w:szCs w:val="44"/>
        </w:rPr>
        <w:t>2025年交通运输领域专项资金</w:t>
      </w:r>
    </w:p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（第一批）普通省道“以奖代补”资金的通知</w:t>
      </w:r>
    </w:p>
    <w:p>
      <w:pPr>
        <w:spacing w:line="560" w:lineRule="exact"/>
        <w:jc w:val="left"/>
        <w:rPr>
          <w:rFonts w:eastAsia="仿宋_GB2312"/>
          <w:sz w:val="32"/>
          <w:szCs w:val="32"/>
        </w:rPr>
      </w:pPr>
    </w:p>
    <w:p>
      <w:pPr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市公路事业发展中心：</w:t>
      </w:r>
    </w:p>
    <w:p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根据省财政厅《</w:t>
      </w:r>
      <w:r>
        <w:rPr>
          <w:rFonts w:eastAsia="仿宋_GB2312" w:hint="eastAsia"/>
          <w:sz w:val="32"/>
          <w:szCs w:val="32"/>
        </w:rPr>
        <w:t>关于提前下达2025年交通运输领域专项资金（第一批）普通省道和农村公路“以奖代补”资金的通知</w:t>
      </w:r>
      <w:r>
        <w:rPr>
          <w:rFonts w:eastAsia="仿宋_GB2312"/>
          <w:sz w:val="32"/>
          <w:szCs w:val="32"/>
        </w:rPr>
        <w:t>》（苏财建〔2024〕244号），现将用于支持我市</w:t>
      </w:r>
      <w:r>
        <w:rPr>
          <w:rFonts w:eastAsia="仿宋_GB2312" w:hint="eastAsia"/>
          <w:sz w:val="32"/>
          <w:szCs w:val="32"/>
        </w:rPr>
        <w:t>356省道浦口西江路至苏皖省界段工程交通运输领域专项</w:t>
      </w:r>
      <w:r>
        <w:rPr>
          <w:rFonts w:eastAsia="仿宋_GB2312"/>
          <w:sz w:val="32"/>
          <w:szCs w:val="32"/>
        </w:rPr>
        <w:t xml:space="preserve">资金10000万元下达给你单位。 </w:t>
      </w:r>
    </w:p>
    <w:p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请你单位严格按照财政资金管理要求，切实加快支出进度，确保资金专款专用。同时，要严格按照国家和省有关预算绩效管理的要求，完善资金绩效目标管理，做好绩效运行监控和绩效评价，确保财政资金安全高效；要严格按照中央直达资金的相关要求，做好直达资金监控工作。</w:t>
      </w:r>
    </w:p>
    <w:p>
      <w:pPr>
        <w:spacing w:line="560" w:lineRule="exact"/>
        <w:ind w:leftChars="300" w:left="1910" w:hangingChars="400" w:hanging="1280"/>
        <w:jc w:val="left"/>
        <w:rPr>
          <w:rFonts w:eastAsia="仿宋_GB2312"/>
          <w:sz w:val="32"/>
          <w:szCs w:val="32"/>
        </w:rPr>
      </w:pPr>
    </w:p>
    <w:p>
      <w:pPr>
        <w:spacing w:line="560" w:lineRule="exact"/>
        <w:ind w:leftChars="300" w:left="1910" w:hangingChars="400" w:hanging="128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附件：1.</w:t>
      </w:r>
      <w:r>
        <w:rPr>
          <w:rFonts w:eastAsia="仿宋_GB2312" w:hint="eastAsia"/>
          <w:sz w:val="32"/>
          <w:szCs w:val="32"/>
        </w:rPr>
        <w:t>关于提前下达2025年交通运输领域专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项资金（第一批）普通省道和农村公路“以奖代补”资金的通知</w:t>
      </w:r>
      <w:r>
        <w:rPr>
          <w:rFonts w:eastAsia="仿宋_GB2312"/>
          <w:sz w:val="32"/>
          <w:szCs w:val="32"/>
        </w:rPr>
        <w:t>（苏财建〔2024〕244号）</w:t>
      </w:r>
    </w:p>
    <w:p>
      <w:pPr>
        <w:spacing w:line="560" w:lineRule="exact"/>
        <w:ind w:leftChars="228" w:left="479" w:firstLineChars="350" w:firstLine="112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下达2025年交通运输领域专项资金（第一批）</w:t>
      </w:r>
    </w:p>
    <w:p>
      <w:pPr>
        <w:spacing w:line="560" w:lineRule="exact"/>
        <w:ind w:leftChars="228" w:left="479" w:firstLineChars="450" w:firstLine="14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普通省道“以奖代补”资金拨付明细表</w:t>
      </w:r>
      <w:r>
        <w:rPr>
          <w:rFonts w:eastAsia="仿宋_GB2312"/>
          <w:sz w:val="32"/>
          <w:szCs w:val="32"/>
        </w:rPr>
        <w:t xml:space="preserve">                                              </w:t>
      </w:r>
    </w:p>
    <w:p>
      <w:pPr>
        <w:spacing w:line="560" w:lineRule="exact"/>
        <w:ind w:firstLineChars="500" w:firstLine="1600"/>
        <w:jc w:val="left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下达2025年交通运输领域专项资金（第一批）</w:t>
      </w:r>
    </w:p>
    <w:p>
      <w:pPr>
        <w:spacing w:line="560" w:lineRule="exact"/>
        <w:ind w:firstLineChars="600" w:firstLine="19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普通省道“以奖代补”资金绩效目标表</w:t>
      </w:r>
    </w:p>
    <w:p>
      <w:pPr>
        <w:snapToGrid w:val="0"/>
        <w:spacing w:line="560" w:lineRule="exac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rPr>
          <w:rFonts w:eastAsia="仿宋_GB2312"/>
          <w:sz w:val="32"/>
          <w:szCs w:val="32"/>
        </w:rPr>
      </w:pPr>
    </w:p>
    <w:p>
      <w:pPr>
        <w:wordWrap w:val="0"/>
        <w:snapToGrid w:val="0"/>
        <w:spacing w:line="560" w:lineRule="exact"/>
        <w:ind w:firstLineChars="500" w:firstLine="1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南京市交通运输局           南京市财政局</w:t>
      </w:r>
    </w:p>
    <w:p>
      <w:pPr>
        <w:snapToGrid w:val="0"/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2025年1月6日</w:t>
      </w:r>
    </w:p>
    <w:p>
      <w:pPr>
        <w:spacing w:line="500" w:lineRule="exact"/>
        <w:ind w:firstLineChars="200" w:firstLine="640"/>
        <w:rPr>
          <w:rFonts w:eastAsia="仿宋_GB2312" w:hint="eastAsia"/>
          <w:sz w:val="32"/>
          <w:szCs w:val="32"/>
        </w:rPr>
      </w:pPr>
    </w:p>
    <w:p>
      <w:pPr>
        <w:spacing w:line="500" w:lineRule="exact"/>
        <w:ind w:firstLine="600"/>
        <w:rPr>
          <w:rFonts w:eastAsia="仿宋_GB2312" w:hint="eastAsia"/>
          <w:sz w:val="32"/>
          <w:szCs w:val="32"/>
        </w:rPr>
      </w:pPr>
    </w:p>
    <w:p>
      <w:pPr>
        <w:spacing w:line="500" w:lineRule="exact"/>
        <w:ind w:firstLineChars="385" w:firstLine="1232"/>
        <w:rPr>
          <w:rFonts w:eastAsia="仿宋_GB2312" w:hint="eastAsia"/>
          <w:sz w:val="32"/>
          <w:szCs w:val="32"/>
        </w:rPr>
      </w:pPr>
    </w:p>
    <w:p>
      <w:pPr>
        <w:spacing w:line="500" w:lineRule="exact"/>
        <w:rPr>
          <w:rFonts w:eastAsia="仿宋_GB2312" w:hint="eastAsia"/>
          <w:sz w:val="32"/>
          <w:szCs w:val="32"/>
        </w:rPr>
      </w:pPr>
    </w:p>
    <w:tbl>
      <w:tblPr>
        <w:tblpPr w:leftFromText="180" w:rightFromText="180" w:vertAnchor="text" w:horzAnchor="page" w:tblpX="1688" w:tblpY="1146"/>
        <w:tblOverlap w:val="never"/>
        <w:tblBorders>
          <w:top w:val="none" w:sz="0" w:space="0" w:color="auto"/>
          <w:left w:val="none" w:sz="0" w:space="0" w:color="auto"/>
          <w:bottom w:val="single" w:sz="8" w:space="0" w:color="000000"/>
          <w:right w:val="none" w:sz="0" w:space="0" w:color="auto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rPr>
          <w:cantSplit/>
          <w:trHeight w:val="453"/>
        </w:trPr>
        <w:tc>
          <w:tcPr>
            <w:tcW w:w="88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  <w:tl2br w:val="nil"/>
              <w:tr2bl w:val="nil"/>
            </w:tcBorders>
          </w:tcPr>
          <w:p>
            <w:pPr>
              <w:autoSpaceDE w:val="0"/>
              <w:autoSpaceDN w:val="0"/>
              <w:spacing w:line="560" w:lineRule="atLeast"/>
              <w:jc w:val="lef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 南京市交通运输局办公室              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202</w:t>
            </w:r>
            <w:r>
              <w:rPr>
                <w:rFonts w:eastAsia="仿宋_GB2312"/>
                <w:kern w:val="0"/>
                <w:sz w:val="28"/>
                <w:szCs w:val="28"/>
              </w:rPr>
              <w:t>5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年</w:t>
            </w:r>
            <w:r>
              <w:rPr>
                <w:rFonts w:eastAsia="仿宋_GB2312"/>
                <w:kern w:val="0"/>
                <w:sz w:val="28"/>
                <w:szCs w:val="28"/>
              </w:rPr>
              <w:t>1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月</w:t>
            </w:r>
            <w:r>
              <w:rPr>
                <w:rFonts w:eastAsia="仿宋_GB2312"/>
                <w:kern w:val="0"/>
                <w:sz w:val="28"/>
                <w:szCs w:val="28"/>
              </w:rPr>
              <w:t>6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日印发</w:t>
            </w:r>
          </w:p>
        </w:tc>
      </w:tr>
    </w:tbl>
    <w:p>
      <w:pPr>
        <w:pStyle w:val="15"/>
        <w:snapToGrid w:val="0"/>
        <w:spacing w:line="400" w:lineRule="exact"/>
        <w:rPr>
          <w:rFonts w:ascii="Times New Roman" w:hAnsi="Times New Roman" w:hint="eastAsia"/>
        </w:rPr>
      </w:pPr>
    </w:p>
    <w:p>
      <w:pPr>
        <w:rPr>
          <w:rFonts w:hint="eastAsia"/>
        </w:rPr>
      </w:pPr>
    </w:p>
    <w:p/>
    <w:p>
      <w:pPr>
        <w:jc w:val="lef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附件2</w:t>
      </w:r>
    </w:p>
    <w:p>
      <w:pPr>
        <w:spacing w:line="560" w:lineRule="exact"/>
        <w:jc w:val="center"/>
        <w:rPr>
          <w:rFonts w:eastAsia="方正小标宋_GBK" w:hint="eastAsia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下达2025年交通运输领域专项资金（第一批）</w:t>
      </w:r>
    </w:p>
    <w:p>
      <w:pPr>
        <w:spacing w:line="560" w:lineRule="exact"/>
        <w:jc w:val="center"/>
        <w:rPr>
          <w:rFonts w:eastAsia="仿宋_GB2312" w:hint="eastAsia"/>
          <w:sz w:val="32"/>
          <w:szCs w:val="32"/>
        </w:rPr>
      </w:pPr>
      <w:r>
        <w:rPr>
          <w:rFonts w:eastAsia="方正小标宋_GBK" w:hint="eastAsia"/>
          <w:sz w:val="36"/>
          <w:szCs w:val="36"/>
        </w:rPr>
        <w:t>普通省道“以奖代补”资金拨付明细表</w:t>
      </w:r>
    </w:p>
    <w:p>
      <w:pPr>
        <w:jc w:val="center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32"/>
          <w:szCs w:val="32"/>
        </w:rPr>
        <w:t xml:space="preserve">                                 </w:t>
      </w:r>
      <w:r>
        <w:rPr>
          <w:rFonts w:eastAsia="仿宋_GB2312"/>
          <w:sz w:val="32"/>
          <w:szCs w:val="32"/>
        </w:rPr>
        <w:t xml:space="preserve">           </w:t>
      </w:r>
      <w:r>
        <w:rPr>
          <w:rFonts w:eastAsia="仿宋_GB2312" w:hint="eastAsia"/>
          <w:sz w:val="28"/>
          <w:szCs w:val="28"/>
        </w:rPr>
        <w:t>单位：万元</w:t>
      </w:r>
    </w:p>
    <w:tbl>
      <w:tblPr>
        <w:jc w:val="center"/>
        <w:tblW w:w="9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660"/>
        <w:gridCol w:w="1176"/>
        <w:gridCol w:w="816"/>
        <w:gridCol w:w="1414"/>
        <w:gridCol w:w="2222"/>
      </w:tblGrid>
      <w:tr>
        <w:trPr>
          <w:trHeight w:val="49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省下达文号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省指标下达数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本次拨付数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项目实施单位</w:t>
            </w:r>
          </w:p>
        </w:tc>
      </w:tr>
      <w:tr>
        <w:trPr>
          <w:trHeight w:val="48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356省道浦口西江路至苏皖省界段工程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苏财建〔202</w:t>
            </w:r>
            <w:r>
              <w:rPr>
                <w:rFonts w:cs="宋体"/>
                <w:kern w:val="0"/>
                <w:sz w:val="24"/>
                <w:szCs w:val="24"/>
              </w:rPr>
              <w:t>4</w:t>
            </w:r>
            <w:r>
              <w:rPr>
                <w:rFonts w:cs="宋体" w:hint="eastAsia"/>
                <w:kern w:val="0"/>
                <w:sz w:val="24"/>
                <w:szCs w:val="24"/>
              </w:rPr>
              <w:t>〕</w:t>
            </w:r>
            <w:r>
              <w:rPr>
                <w:rFonts w:cs="宋体"/>
                <w:kern w:val="0"/>
                <w:sz w:val="24"/>
                <w:szCs w:val="24"/>
              </w:rPr>
              <w:t>24</w:t>
            </w:r>
            <w:r>
              <w:rPr>
                <w:rFonts w:cs="宋体" w:hint="eastAsia"/>
                <w:kern w:val="0"/>
                <w:sz w:val="24"/>
                <w:szCs w:val="24"/>
              </w:rPr>
              <w:t>4号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市公路事业发展中心</w:t>
            </w:r>
          </w:p>
        </w:tc>
      </w:tr>
      <w:tr>
        <w:trPr>
          <w:trHeight w:val="60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 w:hint="eastAsia"/>
                <w:kern w:val="0"/>
                <w:sz w:val="24"/>
                <w:szCs w:val="24"/>
              </w:rPr>
              <w:t>　</w:t>
            </w:r>
          </w:p>
        </w:tc>
      </w:tr>
    </w:tbl>
    <w:p>
      <w:pPr>
        <w:snapToGrid w:val="0"/>
        <w:spacing w:line="560" w:lineRule="exact"/>
        <w:ind w:right="1179"/>
        <w:jc w:val="right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leftChars="550" w:left="1155" w:firstLineChars="250" w:firstLine="800"/>
        <w:rPr>
          <w:rFonts w:eastAsia="仿宋_GB2312" w:hint="eastAsia"/>
          <w:sz w:val="32"/>
          <w:szCs w:val="32"/>
        </w:rPr>
      </w:pPr>
    </w:p>
    <w:p>
      <w:pPr>
        <w:jc w:val="lef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附件3</w:t>
      </w:r>
    </w:p>
    <w:p>
      <w:pPr>
        <w:spacing w:line="560" w:lineRule="exact"/>
        <w:jc w:val="center"/>
        <w:rPr>
          <w:rFonts w:eastAsia="方正小标宋_GBK" w:hint="eastAsia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下达2025年交通运输领域专项资金（第一批）</w:t>
      </w:r>
    </w:p>
    <w:p>
      <w:pPr>
        <w:spacing w:line="560" w:lineRule="exact"/>
        <w:jc w:val="center"/>
        <w:rPr>
          <w:rFonts w:eastAsia="方正小标宋_GBK" w:hint="eastAsia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普通省道“以奖代补”资金绩效目标表</w:t>
      </w:r>
    </w:p>
    <w:p>
      <w:pPr>
        <w:spacing w:line="560" w:lineRule="exact"/>
        <w:jc w:val="center"/>
        <w:rPr>
          <w:rFonts w:eastAsia="方正小标宋_GBK" w:hint="eastAsia"/>
          <w:b/>
          <w:sz w:val="36"/>
          <w:szCs w:val="36"/>
        </w:rPr>
      </w:pPr>
    </w:p>
    <w:p>
      <w:pPr>
        <w:spacing w:line="560" w:lineRule="exact"/>
        <w:jc w:val="right"/>
        <w:rPr>
          <w:rFonts w:eastAsia="仿宋_GB2312" w:hint="eastAsia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单位：公里、个</w:t>
      </w:r>
    </w:p>
    <w:tbl>
      <w:tblPr>
        <w:jc w:val="cent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2410"/>
        <w:gridCol w:w="4394"/>
        <w:gridCol w:w="1303"/>
      </w:tblGrid>
      <w:tr>
        <w:tc>
          <w:tcPr>
            <w:tcW w:w="39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专项名称</w:t>
            </w:r>
          </w:p>
        </w:tc>
        <w:tc>
          <w:tcPr>
            <w:tcW w:w="56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2025年交通运输领域专项资金</w:t>
            </w:r>
          </w:p>
        </w:tc>
      </w:tr>
      <w:tr>
        <w:tc>
          <w:tcPr>
            <w:tcW w:w="39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主管部门</w:t>
            </w:r>
          </w:p>
        </w:tc>
        <w:tc>
          <w:tcPr>
            <w:tcW w:w="56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市公路事业发展中心</w:t>
            </w:r>
          </w:p>
        </w:tc>
      </w:tr>
      <w:tr>
        <w:trPr>
          <w:trHeight w:val="640"/>
        </w:trPr>
        <w:tc>
          <w:tcPr>
            <w:tcW w:w="39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本次下达中央财政资金：</w:t>
            </w:r>
          </w:p>
          <w:p>
            <w:pPr>
              <w:spacing w:line="32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（万元）</w:t>
            </w:r>
          </w:p>
        </w:tc>
        <w:tc>
          <w:tcPr>
            <w:tcW w:w="56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cs="宋体" w:hint="eastAsia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4"/>
                <w:szCs w:val="24"/>
              </w:rPr>
              <w:t>10000</w:t>
            </w:r>
          </w:p>
        </w:tc>
      </w:tr>
      <w:tr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一级指标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二级指标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三级指标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指标值</w:t>
            </w:r>
          </w:p>
        </w:tc>
      </w:tr>
      <w:tr>
        <w:tc>
          <w:tcPr>
            <w:tcW w:w="15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产出指标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数量指标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支持普通省道建设（公里）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</w:t>
            </w:r>
          </w:p>
        </w:tc>
      </w:tr>
      <w:tr>
        <w:tc>
          <w:tcPr>
            <w:tcW w:w="1532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241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质量指标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资金使用合规性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合规</w:t>
            </w:r>
          </w:p>
        </w:tc>
      </w:tr>
      <w:tr>
        <w:tc>
          <w:tcPr>
            <w:tcW w:w="1532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2410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完工项目验收合格率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100%</w:t>
            </w:r>
          </w:p>
        </w:tc>
      </w:tr>
      <w:tr>
        <w:tc>
          <w:tcPr>
            <w:tcW w:w="1532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时效指标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按时完成年度目标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00</w:t>
            </w:r>
            <w:r>
              <w:rPr>
                <w:rFonts w:eastAsia="仿宋_GB2312" w:hint="eastAsia"/>
                <w:sz w:val="24"/>
                <w:szCs w:val="24"/>
              </w:rPr>
              <w:t>%</w:t>
            </w:r>
          </w:p>
        </w:tc>
      </w:tr>
      <w:tr>
        <w:tc>
          <w:tcPr>
            <w:tcW w:w="15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效益指标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社会效益指标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公路安全水平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提升</w:t>
            </w:r>
          </w:p>
        </w:tc>
      </w:tr>
      <w:tr>
        <w:tc>
          <w:tcPr>
            <w:tcW w:w="1532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生态效益指标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交通建设符合环评审批要求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00</w:t>
            </w:r>
            <w:r>
              <w:rPr>
                <w:rFonts w:eastAsia="仿宋_GB2312" w:hint="eastAsia"/>
                <w:sz w:val="24"/>
                <w:szCs w:val="24"/>
              </w:rPr>
              <w:t>%</w:t>
            </w:r>
          </w:p>
        </w:tc>
      </w:tr>
      <w:tr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满意度指标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服务对象满意度指标</w:t>
            </w:r>
          </w:p>
        </w:tc>
        <w:tc>
          <w:tcPr>
            <w:tcW w:w="43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改善通行服务水平群众满意度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eastAsia="仿宋_GB2312" w:hint="eastAsia"/>
                <w:sz w:val="24"/>
                <w:szCs w:val="24"/>
              </w:rPr>
              <w:t>80%</w:t>
            </w:r>
          </w:p>
        </w:tc>
      </w:tr>
    </w:tbl>
    <w:p>
      <w:pPr>
        <w:rPr>
          <w:rFonts w:hint="eastAsia"/>
        </w:rPr>
      </w:pPr>
    </w:p>
    <w:sectPr>
      <w:headerReference w:type="default" r:id="rId2"/>
      <w:headerReference w:type="even" r:id="rId3"/>
      <w:footerReference w:type="default" r:id="rId4"/>
      <w:footerReference w:type="even" r:id="rId5"/>
      <w:pgSz w:w="11907" w:h="16840"/>
      <w:pgMar w:top="1985" w:right="1474" w:bottom="1985" w:left="1588" w:header="851" w:footer="1418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0000000000000000000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framePr w:w="1683" w:hRule="auto" w:wrap="around" w:vAnchor="text" w:hAnchor="page" w:x="8729" w:y="3" w:anchorLock="0"/>
      <w:tabs>
        <w:tab w:val="center" w:pos="4153"/>
        <w:tab w:val="right" w:pos="8306"/>
      </w:tabs>
      <w:wordWrap w:val="0"/>
      <w:jc w:val="right"/>
      <w:rPr>
        <w:rStyle w:val="17"/>
        <w:rFonts w:hint="eastAsia"/>
        <w:sz w:val="28"/>
      </w:rPr>
    </w:pPr>
    <w:r>
      <w:rPr>
        <w:rStyle w:val="17"/>
        <w:rFonts w:hint="eastAsia"/>
        <w:sz w:val="28"/>
      </w:rPr>
      <w:t>—</w:t>
    </w:r>
    <w:r>
      <w:rPr>
        <w:rStyle w:val="17"/>
        <w:sz w:val="28"/>
      </w:rPr>
      <w:t xml:space="preserve"> </w:t>
    </w:r>
    <w:r>
      <w:rPr>
        <w:rStyle w:val="17"/>
        <w:sz w:val="28"/>
      </w:rPr>
      <w:fldChar w:fldCharType="begin"/>
    </w:r>
    <w:r>
      <w:rPr>
        <w:rStyle w:val="17"/>
        <w:sz w:val="28"/>
      </w:rPr>
      <w:instrText xml:space="preserve">PAGE  </w:instrText>
    </w:r>
    <w:r>
      <w:rPr>
        <w:rStyle w:val="17"/>
        <w:sz w:val="28"/>
      </w:rPr>
      <w:fldChar w:fldCharType="separate"/>
    </w:r>
    <w:r>
      <w:rPr>
        <w:rStyle w:val="17"/>
        <w:sz w:val="28"/>
        <w:lang w:val="en-US" w:eastAsia="zh-CN"/>
      </w:rPr>
      <w:t>2</w:t>
    </w:r>
    <w:r>
      <w:rPr>
        <w:rStyle w:val="17"/>
        <w:sz w:val="28"/>
      </w:rPr>
      <w:fldChar w:fldCharType="end"/>
    </w:r>
    <w:r>
      <w:rPr>
        <w:rStyle w:val="17"/>
        <w:sz w:val="28"/>
      </w:rPr>
      <w:t xml:space="preserve"> </w:t>
    </w:r>
    <w:r>
      <w:rPr>
        <w:rStyle w:val="17"/>
        <w:rFonts w:hint="eastAsia"/>
        <w:sz w:val="28"/>
      </w:rPr>
      <w:t xml:space="preserve">—  </w:t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7"/>
        <w:rFonts w:hint="eastAsia"/>
        <w:sz w:val="28"/>
      </w:rPr>
    </w:pPr>
    <w:r>
      <w:rPr>
        <w:rStyle w:val="17"/>
        <w:rFonts w:hint="eastAsia"/>
        <w:sz w:val="28"/>
      </w:rPr>
      <w:t xml:space="preserve">  —</w:t>
    </w:r>
    <w:r>
      <w:rPr>
        <w:rStyle w:val="17"/>
        <w:sz w:val="28"/>
      </w:rPr>
      <w:t xml:space="preserve"> </w:t>
    </w:r>
    <w:r>
      <w:rPr>
        <w:rStyle w:val="17"/>
        <w:sz w:val="28"/>
      </w:rPr>
      <w:fldChar w:fldCharType="begin"/>
    </w:r>
    <w:r>
      <w:rPr>
        <w:rStyle w:val="17"/>
        <w:sz w:val="28"/>
      </w:rPr>
      <w:instrText xml:space="preserve">PAGE  </w:instrText>
    </w:r>
    <w:r>
      <w:rPr>
        <w:rStyle w:val="17"/>
        <w:sz w:val="28"/>
      </w:rPr>
      <w:fldChar w:fldCharType="separate"/>
    </w:r>
    <w:r>
      <w:rPr>
        <w:rStyle w:val="17"/>
        <w:sz w:val="28"/>
        <w:lang w:val="en-US" w:eastAsia="zh-CN"/>
      </w:rPr>
      <w:t>2</w:t>
    </w:r>
    <w:r>
      <w:rPr>
        <w:rStyle w:val="17"/>
        <w:sz w:val="28"/>
      </w:rPr>
      <w:fldChar w:fldCharType="end"/>
    </w:r>
    <w:r>
      <w:rPr>
        <w:rStyle w:val="17"/>
        <w:sz w:val="28"/>
      </w:rPr>
      <w:t xml:space="preserve"> </w:t>
    </w:r>
    <w:r>
      <w:rPr>
        <w:rStyle w:val="17"/>
        <w:rFonts w:hint="eastAsia"/>
        <w:sz w:val="28"/>
      </w:rPr>
      <w:t>—</w:t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6"/>
  <w:bordersDoNotSurroundHeader/>
  <w:bordersDoNotSurroundFooter/>
  <w:defaultTabStop w:val="420"/>
  <w:evenAndOddHeaders/>
  <w:drawingGridHorizontalSpacing w:val="18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  <w:docVar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Date"/>
    <w:basedOn w:val="0"/>
    <w:next w:val="0"/>
    <w:rPr>
      <w:rFonts w:ascii="仿宋_GB2312" w:eastAsia="仿宋_GB2312"/>
      <w:sz w:val="32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7">
    <w:name w:val="page number"/>
    <w:basedOn w:val="10"/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bdr w:val="none" w:sz="0" w:space="0" w:color="auto"/>
    </w:rPr>
  </w:style>
  <w:style w:type="paragraph" w:styleId="19">
    <w:name w:val="Document Map"/>
    <w:basedOn w:val="0"/>
    <w:pPr>
      <w:shd w:val="clear" w:color="auto" w:fill="000080"/>
    </w:pPr>
  </w:style>
  <w:style w:type="paragraph" w:customStyle="1" w:styleId="20">
    <w:name w:val="Char Char Char Char"/>
    <w:basedOn w:val="19"/>
    <w:autoRedefine/>
    <w:rPr>
      <w:rFonts w:ascii="Tahoma" w:cs="Tahoma" w:hAnsi="Tahoma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9525" cmpd="sng" cap="flat">
          <a:solidFill>
            <a:srgbClr val="000000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 cmpd="sng" cap="flat">
          <a:solidFill>
            <a:srgbClr val="000000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>
  <Template>Normal.eit</Template>
  <TotalTime>25</TotalTime>
  <Application>Yozo_Office27021597764231179</Application>
  <Pages>4</Pages>
  <Words>810</Words>
  <Characters>901</Characters>
  <Lines>126</Lines>
  <Paragraphs>74</Paragraphs>
  <CharactersWithSpaces>1056</CharactersWithSpaces>
  <Company>NJJT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文件</dc:title>
  <dc:creator>徐卫民</dc:creator>
  <cp:lastModifiedBy>刘泽阳</cp:lastModifiedBy>
  <cp:revision>7</cp:revision>
  <cp:lastPrinted>2025-01-07T07:16:58Z</cp:lastPrinted>
  <dcterms:created xsi:type="dcterms:W3CDTF">2017-01-04T02:28:00Z</dcterms:created>
  <dcterms:modified xsi:type="dcterms:W3CDTF">2025-01-07T07:50:30Z</dcterms:modified>
</cp:coreProperties>
</file>