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560" w:lineRule="exact"/>
        <w:ind w:left="-14"/>
        <w:jc w:val="center"/>
        <w:rPr>
          <w:rFonts w:hint="eastAsia" w:eastAsia="仿宋_GB2312"/>
          <w:sz w:val="32"/>
        </w:rPr>
      </w:pPr>
    </w:p>
    <w:p>
      <w:pPr>
        <w:ind w:right="1911" w:rightChars="910"/>
        <w:jc w:val="distribute"/>
        <w:rPr>
          <w:b/>
          <w:color w:val="FF0000"/>
          <w:sz w:val="84"/>
          <w:szCs w:val="84"/>
        </w:rPr>
      </w:pPr>
      <w:r>
        <w:rPr>
          <w:rFonts w:hint="eastAsia"/>
          <w:b/>
          <w:color w:val="FF0000"/>
          <w:sz w:val="84"/>
          <w:szCs w:val="84"/>
        </w:rPr>
        <w:t>南京市交通运输局</w:t>
      </w:r>
    </w:p>
    <w:tbl>
      <w:tblPr>
        <w:tblStyle w:val="9"/>
        <w:tblpPr w:leftFromText="180" w:rightFromText="180" w:vertAnchor="text" w:horzAnchor="page" w:tblpX="8794" w:tblpY="2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1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1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</w:tcPr>
          <w:p>
            <w:pPr>
              <w:ind w:left="-42" w:leftChars="-20"/>
              <w:jc w:val="center"/>
              <w:rPr>
                <w:b/>
                <w:color w:val="FF0000"/>
                <w:sz w:val="84"/>
                <w:szCs w:val="84"/>
              </w:rPr>
            </w:pPr>
            <w:r>
              <w:rPr>
                <w:rFonts w:hint="eastAsia"/>
                <w:b/>
                <w:color w:val="FF0000"/>
                <w:sz w:val="84"/>
                <w:szCs w:val="84"/>
              </w:rPr>
              <w:t>文件</w:t>
            </w:r>
          </w:p>
        </w:tc>
      </w:tr>
    </w:tbl>
    <w:p>
      <w:pPr>
        <w:ind w:right="1911" w:rightChars="910"/>
        <w:jc w:val="distribute"/>
        <w:rPr>
          <w:b/>
          <w:color w:val="FF0000"/>
          <w:sz w:val="84"/>
          <w:szCs w:val="84"/>
        </w:rPr>
      </w:pPr>
      <w:r>
        <w:rPr>
          <w:rFonts w:hint="eastAsia"/>
          <w:b/>
          <w:color w:val="FF0000"/>
          <w:sz w:val="84"/>
          <w:szCs w:val="84"/>
        </w:rPr>
        <w:t>南京市商务局</w:t>
      </w:r>
    </w:p>
    <w:p>
      <w:pPr>
        <w:ind w:right="1911" w:rightChars="910"/>
        <w:jc w:val="distribute"/>
        <w:rPr>
          <w:b/>
          <w:color w:val="FF0000"/>
          <w:sz w:val="84"/>
          <w:szCs w:val="84"/>
        </w:rPr>
      </w:pPr>
      <w:r>
        <w:rPr>
          <w:rFonts w:hint="eastAsia"/>
          <w:b/>
          <w:color w:val="FF0000"/>
          <w:sz w:val="84"/>
          <w:szCs w:val="84"/>
        </w:rPr>
        <w:t>南京市财政局</w:t>
      </w:r>
    </w:p>
    <w:p>
      <w:pPr>
        <w:snapToGrid w:val="0"/>
        <w:spacing w:line="560" w:lineRule="exact"/>
        <w:ind w:left="-14"/>
        <w:jc w:val="center"/>
        <w:rPr>
          <w:rFonts w:hint="eastAsia" w:eastAsia="仿宋_GB2312"/>
          <w:sz w:val="32"/>
        </w:rPr>
      </w:pPr>
    </w:p>
    <w:p>
      <w:pPr>
        <w:snapToGrid w:val="0"/>
        <w:spacing w:line="400" w:lineRule="exact"/>
        <w:jc w:val="center"/>
        <w:rPr>
          <w:rFonts w:hint="eastAsia" w:eastAsia="仿宋_GB2312"/>
          <w:sz w:val="32"/>
        </w:rPr>
      </w:pPr>
    </w:p>
    <w:p>
      <w:pPr>
        <w:jc w:val="center"/>
        <w:rPr>
          <w:rFonts w:hint="eastAsia" w:eastAsia="仿宋_GB2312"/>
          <w:color w:val="000000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宁交航空</w:t>
      </w:r>
      <w:r>
        <w:rPr>
          <w:rFonts w:hint="eastAsia" w:eastAsia="仿宋_GB2312"/>
          <w:color w:val="000000"/>
          <w:sz w:val="32"/>
          <w:szCs w:val="32"/>
        </w:rPr>
        <w:t>〔202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5</w:t>
      </w:r>
      <w:r>
        <w:rPr>
          <w:rFonts w:hint="eastAsia" w:eastAsia="仿宋_GB2312"/>
          <w:color w:val="000000"/>
          <w:sz w:val="32"/>
          <w:szCs w:val="32"/>
        </w:rPr>
        <w:t>〕</w:t>
      </w:r>
      <w:r>
        <w:rPr>
          <w:rFonts w:eastAsia="仿宋_GB2312"/>
          <w:color w:val="000000"/>
          <w:sz w:val="32"/>
          <w:szCs w:val="32"/>
        </w:rPr>
        <w:t>132</w:t>
      </w:r>
      <w:r>
        <w:rPr>
          <w:rFonts w:hint="eastAsia" w:eastAsia="仿宋_GB2312"/>
          <w:color w:val="000000"/>
          <w:sz w:val="32"/>
          <w:szCs w:val="32"/>
        </w:rPr>
        <w:t>号</w:t>
      </w:r>
    </w:p>
    <w:p>
      <w:pPr>
        <w:jc w:val="center"/>
        <w:rPr>
          <w:rFonts w:hint="eastAsia" w:eastAsia="仿宋_GB2312"/>
          <w:sz w:val="32"/>
        </w:rPr>
      </w:pPr>
      <w:r>
        <w:rPr>
          <w:rFonts w:hint="eastAsia" w:eastAsia="仿宋_GB2312"/>
        </w:rPr>
        <mc:AlternateContent>
          <mc:Choice Requires="wps">
            <w:drawing>
              <wp:anchor distT="0" distB="0" distL="113665" distR="113665" simplePos="0" relativeHeight="251659264" behindDoc="0" locked="0" layoutInCell="1" allowOverlap="1">
                <wp:simplePos x="0" y="0"/>
                <wp:positionH relativeFrom="column">
                  <wp:posOffset>27940</wp:posOffset>
                </wp:positionH>
                <wp:positionV relativeFrom="paragraph">
                  <wp:posOffset>223520</wp:posOffset>
                </wp:positionV>
                <wp:extent cx="5615940" cy="635"/>
                <wp:effectExtent l="0" t="0" r="0" b="0"/>
                <wp:wrapNone/>
                <wp:docPr id="1" name="直线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15940" cy="634"/>
                        </a:xfrm>
                        <a:prstGeom prst="line">
                          <a:avLst/>
                        </a:prstGeom>
                        <a:noFill/>
                        <a:ln w="9525" cap="flat" cmpd="sng">
                          <a:solidFill>
                            <a:srgbClr val="FF0000"/>
                          </a:solidFill>
                          <a:prstDash val="solid"/>
                          <a:miter/>
                        </a:ln>
                      </wps:spPr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直线 3" o:spid="_x0000_s1026" o:spt="20" style="position:absolute;left:0pt;margin-left:2.2pt;margin-top:17.6pt;height:0.05pt;width:442.2pt;z-index:251659264;mso-width-relative:page;mso-height-relative:page;" filled="f" stroked="t" coordsize="21600,21600" o:gfxdata="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1acPQdIAAAAHAQAADwAAAAAAAAAB&#10;ACAAAAAiAAAAZHJzL2Rvd25yZXYueG1sUEsBAhQAFAAAAAgAh07iQGJ9rA0WAgAAHwQAAA4AAAAA&#10;AAAAAQAgAAAAIQEAAGRycy9lMm9Eb2MueG1sUEsFBgAAAAAGAAYAWQEAAKkFAAAAAA==&#10;">
                <v:fill on="f" focussize="0,0"/>
                <v:stroke color="#FF0000" joinstyle="miter"/>
                <v:imagedata o:title=""/>
                <o:lock v:ext="edit" aspectratio="f"/>
              </v:line>
            </w:pict>
          </mc:Fallback>
        </mc:AlternateContent>
      </w:r>
    </w:p>
    <w:p>
      <w:pPr>
        <w:snapToGrid w:val="0"/>
        <w:spacing w:line="560" w:lineRule="exact"/>
        <w:jc w:val="center"/>
        <w:rPr>
          <w:rFonts w:hint="eastAsia" w:eastAsia="仿宋_GB2312"/>
          <w:sz w:val="32"/>
        </w:rPr>
      </w:pPr>
    </w:p>
    <w:p>
      <w:pPr>
        <w:spacing w:line="560" w:lineRule="exact"/>
        <w:jc w:val="center"/>
        <w:rPr>
          <w:rFonts w:hint="eastAsia" w:eastAsia="方正小标宋简体"/>
          <w:sz w:val="44"/>
          <w:szCs w:val="44"/>
        </w:rPr>
      </w:pPr>
    </w:p>
    <w:p>
      <w:pPr>
        <w:spacing w:line="660" w:lineRule="exact"/>
        <w:jc w:val="center"/>
        <w:rPr>
          <w:rFonts w:hint="eastAsia" w:eastAsia="方正小标宋简体"/>
          <w:sz w:val="44"/>
          <w:szCs w:val="44"/>
        </w:rPr>
      </w:pPr>
      <w:r>
        <w:rPr>
          <w:rFonts w:hint="eastAsia" w:eastAsia="方正小标宋简体"/>
          <w:sz w:val="44"/>
          <w:szCs w:val="44"/>
        </w:rPr>
        <w:t>关于下达202</w:t>
      </w:r>
      <w:r>
        <w:rPr>
          <w:rFonts w:hint="eastAsia" w:eastAsia="方正小标宋简体"/>
          <w:sz w:val="44"/>
          <w:szCs w:val="44"/>
          <w:lang w:val="en-US" w:eastAsia="zh-CN"/>
        </w:rPr>
        <w:t>4</w:t>
      </w:r>
      <w:r>
        <w:rPr>
          <w:rFonts w:hint="eastAsia" w:eastAsia="方正小标宋简体"/>
          <w:sz w:val="44"/>
          <w:szCs w:val="44"/>
        </w:rPr>
        <w:t>年度南京南站城市候机楼</w:t>
      </w:r>
    </w:p>
    <w:p>
      <w:pPr>
        <w:spacing w:line="660" w:lineRule="exact"/>
        <w:jc w:val="center"/>
        <w:rPr>
          <w:rFonts w:hint="eastAsia" w:eastAsia="方正小标宋简体"/>
          <w:sz w:val="44"/>
          <w:szCs w:val="44"/>
        </w:rPr>
      </w:pPr>
      <w:r>
        <w:rPr>
          <w:rFonts w:hint="eastAsia" w:eastAsia="方正小标宋简体"/>
          <w:sz w:val="44"/>
          <w:szCs w:val="44"/>
        </w:rPr>
        <w:t>考核结果及奖补资金的通知</w:t>
      </w:r>
    </w:p>
    <w:p>
      <w:pPr>
        <w:spacing w:line="600" w:lineRule="exact"/>
        <w:jc w:val="center"/>
        <w:rPr>
          <w:rFonts w:hint="eastAsia" w:eastAsia="黑体"/>
          <w:bCs/>
          <w:sz w:val="44"/>
          <w:szCs w:val="44"/>
        </w:rPr>
      </w:pPr>
    </w:p>
    <w:p>
      <w:pPr>
        <w:spacing w:line="590" w:lineRule="exact"/>
        <w:rPr>
          <w:rStyle w:val="14"/>
          <w:rFonts w:hint="eastAsia" w:ascii="Times New Roman" w:hAnsi="Times New Roman" w:eastAsia="方正仿宋_GBK" w:cs="Times New Roman"/>
        </w:rPr>
      </w:pPr>
      <w:r>
        <w:rPr>
          <w:rStyle w:val="14"/>
          <w:rFonts w:hint="eastAsia" w:ascii="Times New Roman" w:hAnsi="Times New Roman" w:eastAsia="方正仿宋_GBK" w:cs="Times New Roman"/>
        </w:rPr>
        <w:t>东部机场集团有限公司、南京汽车客运南站有限公司：</w:t>
      </w:r>
    </w:p>
    <w:p>
      <w:pPr>
        <w:spacing w:line="590" w:lineRule="exact"/>
        <w:ind w:firstLine="640" w:firstLineChars="200"/>
        <w:rPr>
          <w:rStyle w:val="14"/>
          <w:rFonts w:ascii="Times New Roman" w:hAnsi="Times New Roman" w:eastAsia="方正仿宋_GBK" w:cs="Times New Roman"/>
        </w:rPr>
      </w:pPr>
      <w:r>
        <w:rPr>
          <w:rStyle w:val="14"/>
          <w:rFonts w:ascii="Times New Roman" w:hAnsi="Times New Roman" w:eastAsia="方正仿宋_GBK" w:cs="Times New Roman"/>
        </w:rPr>
        <w:t>为进一步提升南京南站城市候机楼（以下简称“南站候机楼”）服务质量，强化运营服务绩效导向作用，推动企业实现高质量可持续发展，依据《南京南站城市候机楼奖励补助考核工作方案》（以下简称《方案》）要求，4月28日</w:t>
      </w:r>
      <w:r>
        <w:rPr>
          <w:rStyle w:val="14"/>
          <w:rFonts w:hint="eastAsia" w:ascii="Times New Roman" w:hAnsi="Times New Roman" w:eastAsia="方正仿宋_GBK" w:cs="Times New Roman"/>
          <w:lang w:val="en-US" w:eastAsia="zh-CN"/>
        </w:rPr>
        <w:t>三部门</w:t>
      </w:r>
      <w:r>
        <w:rPr>
          <w:rStyle w:val="14"/>
          <w:rFonts w:ascii="Times New Roman" w:hAnsi="Times New Roman" w:eastAsia="方正仿宋_GBK" w:cs="Times New Roman"/>
        </w:rPr>
        <w:t>组成联合考核组，围绕安全生产、营运服务、社会反响三</w:t>
      </w:r>
      <w:r>
        <w:rPr>
          <w:rStyle w:val="14"/>
          <w:rFonts w:hint="eastAsia" w:ascii="Times New Roman" w:hAnsi="Times New Roman" w:eastAsia="方正仿宋_GBK" w:cs="Times New Roman"/>
          <w:lang w:val="en-US" w:eastAsia="zh-CN"/>
        </w:rPr>
        <w:t>方面</w:t>
      </w:r>
      <w:r>
        <w:rPr>
          <w:rStyle w:val="14"/>
          <w:rFonts w:ascii="Times New Roman" w:hAnsi="Times New Roman" w:eastAsia="方正仿宋_GBK" w:cs="Times New Roman"/>
        </w:rPr>
        <w:t>，对2024年度南站候机楼运营服务情况开展</w:t>
      </w:r>
      <w:r>
        <w:rPr>
          <w:rStyle w:val="14"/>
          <w:rFonts w:hint="eastAsia" w:ascii="Times New Roman" w:hAnsi="Times New Roman" w:eastAsia="方正仿宋_GBK" w:cs="Times New Roman"/>
          <w:lang w:val="en-US" w:eastAsia="zh-CN"/>
        </w:rPr>
        <w:t>全面</w:t>
      </w:r>
      <w:r>
        <w:rPr>
          <w:rStyle w:val="14"/>
          <w:rFonts w:ascii="Times New Roman" w:hAnsi="Times New Roman" w:eastAsia="方正仿宋_GBK" w:cs="Times New Roman"/>
        </w:rPr>
        <w:t>考核。现将有关事项通知如下：</w:t>
      </w:r>
    </w:p>
    <w:p>
      <w:pPr>
        <w:spacing w:line="590" w:lineRule="exact"/>
        <w:ind w:firstLine="640" w:firstLineChars="200"/>
        <w:rPr>
          <w:rFonts w:hint="eastAsia" w:eastAsia="仿宋_GB2312"/>
          <w:color w:val="000000"/>
          <w:sz w:val="32"/>
          <w:szCs w:val="32"/>
        </w:rPr>
      </w:pPr>
      <w:r>
        <w:rPr>
          <w:rFonts w:hint="eastAsia" w:eastAsia="黑体"/>
          <w:color w:val="000000"/>
          <w:sz w:val="32"/>
          <w:szCs w:val="32"/>
        </w:rPr>
        <w:t>一、考核情况</w:t>
      </w:r>
    </w:p>
    <w:p>
      <w:pPr>
        <w:spacing w:line="590" w:lineRule="exact"/>
        <w:ind w:firstLine="640" w:firstLineChars="200"/>
        <w:rPr>
          <w:rStyle w:val="14"/>
          <w:rFonts w:ascii="Times New Roman" w:hAnsi="Times New Roman" w:eastAsia="方正仿宋_GBK" w:cs="Times New Roman"/>
        </w:rPr>
      </w:pPr>
      <w:r>
        <w:rPr>
          <w:rStyle w:val="14"/>
          <w:rFonts w:ascii="Times New Roman" w:hAnsi="Times New Roman" w:eastAsia="方正仿宋_GBK" w:cs="Times New Roman"/>
        </w:rPr>
        <w:t>经考核，202</w:t>
      </w:r>
      <w:r>
        <w:rPr>
          <w:rStyle w:val="14"/>
          <w:rFonts w:ascii="Times New Roman" w:hAnsi="Times New Roman" w:eastAsia="方正仿宋_GBK" w:cs="Times New Roman"/>
          <w:lang w:val="en-US" w:eastAsia="zh-CN"/>
        </w:rPr>
        <w:t>4</w:t>
      </w:r>
      <w:r>
        <w:rPr>
          <w:rStyle w:val="14"/>
          <w:rFonts w:ascii="Times New Roman" w:hAnsi="Times New Roman" w:eastAsia="方正仿宋_GBK" w:cs="Times New Roman"/>
        </w:rPr>
        <w:t>年度南站候机楼在落实运输安全生产和社会反响方面</w:t>
      </w:r>
      <w:r>
        <w:rPr>
          <w:rStyle w:val="14"/>
          <w:rFonts w:ascii="Times New Roman" w:hAnsi="Times New Roman" w:eastAsia="方正仿宋_GBK" w:cs="Times New Roman"/>
          <w:lang w:val="en-US" w:eastAsia="zh-CN"/>
        </w:rPr>
        <w:t>总体</w:t>
      </w:r>
      <w:r>
        <w:rPr>
          <w:rStyle w:val="14"/>
          <w:rFonts w:ascii="Times New Roman" w:hAnsi="Times New Roman" w:eastAsia="方正仿宋_GBK" w:cs="Times New Roman"/>
        </w:rPr>
        <w:t>较好，但月度隐患排查治理情况通报机制需进一步完善、国际（地区）航线值机业务服务能力有待提升、宣传推广及乘客引流工作还需加强。</w:t>
      </w:r>
      <w:r>
        <w:rPr>
          <w:rStyle w:val="14"/>
          <w:rFonts w:hint="eastAsia" w:ascii="Times New Roman" w:hAnsi="Times New Roman" w:eastAsia="方正仿宋_GBK" w:cs="Times New Roman"/>
          <w:lang w:val="en-US" w:eastAsia="zh-CN"/>
        </w:rPr>
        <w:t>最终，</w:t>
      </w:r>
      <w:r>
        <w:rPr>
          <w:rStyle w:val="14"/>
          <w:rFonts w:ascii="Times New Roman" w:hAnsi="Times New Roman" w:eastAsia="方正仿宋_GBK" w:cs="Times New Roman"/>
        </w:rPr>
        <w:t>南站候机楼</w:t>
      </w:r>
      <w:r>
        <w:rPr>
          <w:rStyle w:val="14"/>
          <w:rFonts w:hint="eastAsia" w:ascii="Times New Roman" w:hAnsi="Times New Roman" w:eastAsia="方正仿宋_GBK" w:cs="Times New Roman"/>
          <w:lang w:val="en-US" w:eastAsia="zh-CN"/>
        </w:rPr>
        <w:t>在</w:t>
      </w:r>
      <w:r>
        <w:rPr>
          <w:rStyle w:val="14"/>
          <w:rFonts w:ascii="Times New Roman" w:hAnsi="Times New Roman" w:eastAsia="方正仿宋_GBK" w:cs="Times New Roman"/>
        </w:rPr>
        <w:t>202</w:t>
      </w:r>
      <w:r>
        <w:rPr>
          <w:rStyle w:val="14"/>
          <w:rFonts w:ascii="Times New Roman" w:hAnsi="Times New Roman" w:eastAsia="方正仿宋_GBK" w:cs="Times New Roman"/>
          <w:lang w:val="en-US" w:eastAsia="zh-CN"/>
        </w:rPr>
        <w:t>4</w:t>
      </w:r>
      <w:r>
        <w:rPr>
          <w:rStyle w:val="14"/>
          <w:rFonts w:ascii="Times New Roman" w:hAnsi="Times New Roman" w:eastAsia="方正仿宋_GBK" w:cs="Times New Roman"/>
        </w:rPr>
        <w:t>年度考核</w:t>
      </w:r>
      <w:r>
        <w:rPr>
          <w:rStyle w:val="14"/>
          <w:rFonts w:hint="eastAsia" w:ascii="Times New Roman" w:hAnsi="Times New Roman" w:eastAsia="方正仿宋_GBK" w:cs="Times New Roman"/>
          <w:lang w:val="en-US" w:eastAsia="zh-CN"/>
        </w:rPr>
        <w:t>中</w:t>
      </w:r>
      <w:r>
        <w:rPr>
          <w:rStyle w:val="14"/>
          <w:rFonts w:ascii="Times New Roman" w:hAnsi="Times New Roman" w:eastAsia="方正仿宋_GBK" w:cs="Times New Roman"/>
        </w:rPr>
        <w:t>得分9</w:t>
      </w:r>
      <w:r>
        <w:rPr>
          <w:rStyle w:val="14"/>
          <w:rFonts w:ascii="Times New Roman" w:hAnsi="Times New Roman" w:eastAsia="方正仿宋_GBK" w:cs="Times New Roman"/>
          <w:lang w:val="en-US" w:eastAsia="zh-CN"/>
        </w:rPr>
        <w:t>2</w:t>
      </w:r>
      <w:r>
        <w:rPr>
          <w:rStyle w:val="14"/>
          <w:rFonts w:ascii="Times New Roman" w:hAnsi="Times New Roman" w:eastAsia="方正仿宋_GBK" w:cs="Times New Roman"/>
        </w:rPr>
        <w:t>.</w:t>
      </w:r>
      <w:r>
        <w:rPr>
          <w:rStyle w:val="14"/>
          <w:rFonts w:ascii="Times New Roman" w:hAnsi="Times New Roman" w:eastAsia="方正仿宋_GBK" w:cs="Times New Roman"/>
          <w:lang w:val="en-US" w:eastAsia="zh-CN"/>
        </w:rPr>
        <w:t>17</w:t>
      </w:r>
      <w:r>
        <w:rPr>
          <w:rStyle w:val="14"/>
          <w:rFonts w:ascii="Times New Roman" w:hAnsi="Times New Roman" w:eastAsia="方正仿宋_GBK" w:cs="Times New Roman"/>
        </w:rPr>
        <w:t>分，优秀格次（其中，安全生产</w:t>
      </w:r>
      <w:r>
        <w:rPr>
          <w:rStyle w:val="14"/>
          <w:rFonts w:hint="eastAsia" w:ascii="Times New Roman" w:hAnsi="Times New Roman" w:eastAsia="方正仿宋_GBK" w:cs="Times New Roman"/>
          <w:lang w:val="en-US" w:eastAsia="zh-CN"/>
        </w:rPr>
        <w:t>指标分</w:t>
      </w:r>
      <w:r>
        <w:rPr>
          <w:rStyle w:val="14"/>
          <w:rFonts w:ascii="Times New Roman" w:hAnsi="Times New Roman" w:eastAsia="方正仿宋_GBK" w:cs="Times New Roman"/>
          <w:lang w:val="en-US" w:eastAsia="zh-CN"/>
        </w:rPr>
        <w:t>28</w:t>
      </w:r>
      <w:r>
        <w:rPr>
          <w:rStyle w:val="14"/>
          <w:rFonts w:ascii="Times New Roman" w:hAnsi="Times New Roman" w:eastAsia="方正仿宋_GBK" w:cs="Times New Roman"/>
        </w:rPr>
        <w:t>分，营运服务</w:t>
      </w:r>
      <w:r>
        <w:rPr>
          <w:rStyle w:val="14"/>
          <w:rFonts w:hint="eastAsia" w:ascii="Times New Roman" w:hAnsi="Times New Roman" w:eastAsia="方正仿宋_GBK" w:cs="Times New Roman"/>
          <w:lang w:val="en-US" w:eastAsia="zh-CN"/>
        </w:rPr>
        <w:t>指标分</w:t>
      </w:r>
      <w:r>
        <w:rPr>
          <w:rStyle w:val="14"/>
          <w:rFonts w:ascii="Times New Roman" w:hAnsi="Times New Roman" w:eastAsia="方正仿宋_GBK" w:cs="Times New Roman"/>
        </w:rPr>
        <w:t>4</w:t>
      </w:r>
      <w:r>
        <w:rPr>
          <w:rStyle w:val="14"/>
          <w:rFonts w:ascii="Times New Roman" w:hAnsi="Times New Roman" w:eastAsia="方正仿宋_GBK" w:cs="Times New Roman"/>
          <w:lang w:val="en-US" w:eastAsia="zh-CN"/>
        </w:rPr>
        <w:t>9</w:t>
      </w:r>
      <w:r>
        <w:rPr>
          <w:rStyle w:val="14"/>
          <w:rFonts w:ascii="Times New Roman" w:hAnsi="Times New Roman" w:eastAsia="方正仿宋_GBK" w:cs="Times New Roman"/>
        </w:rPr>
        <w:t>.</w:t>
      </w:r>
      <w:r>
        <w:rPr>
          <w:rStyle w:val="14"/>
          <w:rFonts w:ascii="Times New Roman" w:hAnsi="Times New Roman" w:eastAsia="方正仿宋_GBK" w:cs="Times New Roman"/>
          <w:lang w:val="en-US" w:eastAsia="zh-CN"/>
        </w:rPr>
        <w:t>17</w:t>
      </w:r>
      <w:r>
        <w:rPr>
          <w:rStyle w:val="14"/>
          <w:rFonts w:ascii="Times New Roman" w:hAnsi="Times New Roman" w:eastAsia="方正仿宋_GBK" w:cs="Times New Roman"/>
        </w:rPr>
        <w:t>分，社会反响</w:t>
      </w:r>
      <w:r>
        <w:rPr>
          <w:rStyle w:val="14"/>
          <w:rFonts w:hint="eastAsia" w:ascii="Times New Roman" w:hAnsi="Times New Roman" w:eastAsia="方正仿宋_GBK" w:cs="Times New Roman"/>
          <w:lang w:val="en-US" w:eastAsia="zh-CN"/>
        </w:rPr>
        <w:t>指标分</w:t>
      </w:r>
      <w:r>
        <w:rPr>
          <w:rStyle w:val="14"/>
          <w:rFonts w:ascii="Times New Roman" w:hAnsi="Times New Roman" w:eastAsia="方正仿宋_GBK" w:cs="Times New Roman"/>
        </w:rPr>
        <w:t>15分），详见附件1。</w:t>
      </w:r>
    </w:p>
    <w:p>
      <w:pPr>
        <w:spacing w:line="590" w:lineRule="exact"/>
        <w:ind w:firstLine="640" w:firstLineChars="200"/>
        <w:rPr>
          <w:rFonts w:hint="eastAsia" w:eastAsia="黑体"/>
          <w:color w:val="000000"/>
          <w:sz w:val="32"/>
          <w:szCs w:val="32"/>
        </w:rPr>
      </w:pPr>
      <w:r>
        <w:rPr>
          <w:rFonts w:hint="eastAsia" w:eastAsia="黑体"/>
          <w:color w:val="000000"/>
          <w:sz w:val="32"/>
          <w:szCs w:val="32"/>
        </w:rPr>
        <w:t>二、资金下达</w:t>
      </w:r>
    </w:p>
    <w:p>
      <w:pPr>
        <w:widowControl w:val="0"/>
        <w:spacing w:line="590" w:lineRule="exact"/>
        <w:ind w:firstLine="640"/>
        <w:jc w:val="both"/>
        <w:rPr>
          <w:rStyle w:val="14"/>
          <w:rFonts w:ascii="Times New Roman" w:hAnsi="Times New Roman" w:eastAsia="方正仿宋_GBK" w:cs="Times New Roman"/>
        </w:rPr>
      </w:pPr>
      <w:r>
        <w:rPr>
          <w:rStyle w:val="14"/>
          <w:rFonts w:ascii="Times New Roman" w:hAnsi="Times New Roman" w:eastAsia="方正仿宋_GBK" w:cs="Times New Roman"/>
        </w:rPr>
        <w:t>现下达202</w:t>
      </w:r>
      <w:r>
        <w:rPr>
          <w:rStyle w:val="14"/>
          <w:rFonts w:ascii="Times New Roman" w:hAnsi="Times New Roman" w:eastAsia="方正仿宋_GBK" w:cs="Times New Roman"/>
          <w:lang w:val="en-US" w:eastAsia="zh-CN"/>
        </w:rPr>
        <w:t>4</w:t>
      </w:r>
      <w:r>
        <w:rPr>
          <w:rStyle w:val="14"/>
          <w:rFonts w:ascii="Times New Roman" w:hAnsi="Times New Roman" w:eastAsia="方正仿宋_GBK" w:cs="Times New Roman"/>
        </w:rPr>
        <w:t>年度南站候机楼奖励补助</w:t>
      </w:r>
      <w:r>
        <w:rPr>
          <w:rStyle w:val="14"/>
          <w:rFonts w:hint="eastAsia" w:ascii="Times New Roman" w:hAnsi="Times New Roman" w:eastAsia="方正仿宋_GBK" w:cs="Times New Roman"/>
          <w:lang w:val="en-US" w:eastAsia="zh-CN"/>
        </w:rPr>
        <w:t>资金</w:t>
      </w:r>
      <w:r>
        <w:rPr>
          <w:rStyle w:val="14"/>
          <w:rFonts w:ascii="Times New Roman" w:hAnsi="Times New Roman" w:eastAsia="方正仿宋_GBK" w:cs="Times New Roman"/>
          <w:lang w:val="en-US" w:eastAsia="zh-CN"/>
        </w:rPr>
        <w:t>272</w:t>
      </w:r>
      <w:r>
        <w:rPr>
          <w:rStyle w:val="14"/>
          <w:rFonts w:ascii="Times New Roman" w:hAnsi="Times New Roman" w:eastAsia="方正仿宋_GBK" w:cs="Times New Roman"/>
        </w:rPr>
        <w:t>万元，其中：基础补助资金</w:t>
      </w:r>
      <w:r>
        <w:rPr>
          <w:rStyle w:val="14"/>
          <w:rFonts w:ascii="Times New Roman" w:hAnsi="Times New Roman" w:eastAsia="方正仿宋_GBK" w:cs="Times New Roman"/>
          <w:lang w:val="en-US" w:eastAsia="zh-CN"/>
        </w:rPr>
        <w:t>172</w:t>
      </w:r>
      <w:r>
        <w:rPr>
          <w:rStyle w:val="14"/>
          <w:rFonts w:ascii="Times New Roman" w:hAnsi="Times New Roman" w:eastAsia="方正仿宋_GBK" w:cs="Times New Roman"/>
        </w:rPr>
        <w:t>万，考核奖励资金100万元。</w:t>
      </w:r>
      <w:r>
        <w:rPr>
          <w:rStyle w:val="14"/>
          <w:rFonts w:hint="eastAsia" w:ascii="Times New Roman" w:hAnsi="Times New Roman" w:eastAsia="方正仿宋_GBK" w:cs="Times New Roman"/>
          <w:lang w:val="en-US" w:eastAsia="zh-CN"/>
        </w:rPr>
        <w:t>依据</w:t>
      </w:r>
      <w:r>
        <w:rPr>
          <w:rStyle w:val="14"/>
          <w:rFonts w:ascii="Times New Roman" w:hAnsi="Times New Roman" w:eastAsia="方正仿宋_GBK" w:cs="Times New Roman"/>
        </w:rPr>
        <w:t>东部机场集团</w:t>
      </w:r>
      <w:r>
        <w:rPr>
          <w:rStyle w:val="14"/>
          <w:rFonts w:ascii="Times New Roman" w:hAnsi="Times New Roman" w:eastAsia="方正仿宋_GBK" w:cs="Times New Roman"/>
          <w:highlight w:val="none"/>
        </w:rPr>
        <w:t>《关于拨付202</w:t>
      </w:r>
      <w:r>
        <w:rPr>
          <w:rStyle w:val="14"/>
          <w:rFonts w:hint="eastAsia" w:ascii="Times New Roman" w:hAnsi="Times New Roman" w:eastAsia="方正仿宋_GBK" w:cs="Times New Roman"/>
          <w:highlight w:val="none"/>
          <w:lang w:val="en-US" w:eastAsia="zh-CN"/>
        </w:rPr>
        <w:t>4</w:t>
      </w:r>
      <w:r>
        <w:rPr>
          <w:rStyle w:val="14"/>
          <w:rFonts w:ascii="Times New Roman" w:hAnsi="Times New Roman" w:eastAsia="方正仿宋_GBK" w:cs="Times New Roman"/>
          <w:highlight w:val="none"/>
        </w:rPr>
        <w:t>年度南京南站城市候机楼奖励补助的请示》（东机发〔202</w:t>
      </w:r>
      <w:r>
        <w:rPr>
          <w:rStyle w:val="14"/>
          <w:rFonts w:hint="eastAsia" w:ascii="Times New Roman" w:hAnsi="Times New Roman" w:eastAsia="方正仿宋_GBK" w:cs="Times New Roman"/>
          <w:highlight w:val="none"/>
          <w:lang w:val="en-US" w:eastAsia="zh-CN"/>
        </w:rPr>
        <w:t>5</w:t>
      </w:r>
      <w:r>
        <w:rPr>
          <w:rStyle w:val="14"/>
          <w:rFonts w:ascii="Times New Roman" w:hAnsi="Times New Roman" w:eastAsia="方正仿宋_GBK" w:cs="Times New Roman"/>
          <w:highlight w:val="none"/>
        </w:rPr>
        <w:t>〕</w:t>
      </w:r>
      <w:r>
        <w:rPr>
          <w:rStyle w:val="14"/>
          <w:rFonts w:hint="eastAsia" w:ascii="Times New Roman" w:hAnsi="Times New Roman" w:eastAsia="方正仿宋_GBK" w:cs="Times New Roman"/>
          <w:highlight w:val="none"/>
          <w:lang w:val="en-US" w:eastAsia="zh-CN"/>
        </w:rPr>
        <w:t>65</w:t>
      </w:r>
      <w:r>
        <w:rPr>
          <w:rStyle w:val="14"/>
          <w:rFonts w:ascii="Times New Roman" w:hAnsi="Times New Roman" w:eastAsia="方正仿宋_GBK" w:cs="Times New Roman"/>
          <w:highlight w:val="none"/>
        </w:rPr>
        <w:t>号）</w:t>
      </w:r>
      <w:r>
        <w:rPr>
          <w:rStyle w:val="14"/>
          <w:rFonts w:ascii="Times New Roman" w:hAnsi="Times New Roman" w:eastAsia="方正仿宋_GBK" w:cs="Times New Roman"/>
        </w:rPr>
        <w:t>，</w:t>
      </w:r>
      <w:r>
        <w:rPr>
          <w:rStyle w:val="14"/>
          <w:rFonts w:hint="eastAsia" w:ascii="Times New Roman" w:hAnsi="Times New Roman" w:eastAsia="方正仿宋_GBK" w:cs="Times New Roman"/>
          <w:lang w:val="en-US" w:eastAsia="zh-CN"/>
        </w:rPr>
        <w:t>资金具体分配如下：</w:t>
      </w:r>
      <w:r>
        <w:rPr>
          <w:rStyle w:val="14"/>
          <w:rFonts w:ascii="Times New Roman" w:hAnsi="Times New Roman" w:eastAsia="方正仿宋_GBK" w:cs="Times New Roman"/>
        </w:rPr>
        <w:t>拨付</w:t>
      </w:r>
      <w:r>
        <w:rPr>
          <w:rFonts w:eastAsia="方正仿宋_GBK" w:cs="Times New Roman"/>
          <w:sz w:val="32"/>
          <w:szCs w:val="32"/>
        </w:rPr>
        <w:t>东部机场集团奖补资金1</w:t>
      </w:r>
      <w:r>
        <w:rPr>
          <w:rFonts w:eastAsia="方正仿宋_GBK" w:cs="Times New Roman"/>
          <w:sz w:val="32"/>
          <w:szCs w:val="32"/>
          <w:lang w:val="en-US" w:eastAsia="zh-CN"/>
        </w:rPr>
        <w:t>27</w:t>
      </w:r>
      <w:r>
        <w:rPr>
          <w:rFonts w:eastAsia="方正仿宋_GBK" w:cs="Times New Roman"/>
          <w:sz w:val="32"/>
          <w:szCs w:val="32"/>
        </w:rPr>
        <w:t>.</w:t>
      </w:r>
      <w:r>
        <w:rPr>
          <w:rFonts w:eastAsia="方正仿宋_GBK" w:cs="Times New Roman"/>
          <w:sz w:val="32"/>
          <w:szCs w:val="32"/>
          <w:lang w:val="en-US" w:eastAsia="zh-CN"/>
        </w:rPr>
        <w:t>84</w:t>
      </w:r>
      <w:r>
        <w:rPr>
          <w:rFonts w:eastAsia="方正仿宋_GBK" w:cs="Times New Roman"/>
          <w:sz w:val="32"/>
          <w:szCs w:val="32"/>
        </w:rPr>
        <w:t>万元，南京汽车客运南站奖补资金1</w:t>
      </w:r>
      <w:r>
        <w:rPr>
          <w:rFonts w:eastAsia="方正仿宋_GBK" w:cs="Times New Roman"/>
          <w:sz w:val="32"/>
          <w:szCs w:val="32"/>
          <w:lang w:val="en-US" w:eastAsia="zh-CN"/>
        </w:rPr>
        <w:t>44</w:t>
      </w:r>
      <w:r>
        <w:rPr>
          <w:rFonts w:eastAsia="方正仿宋_GBK" w:cs="Times New Roman"/>
          <w:sz w:val="32"/>
          <w:szCs w:val="32"/>
        </w:rPr>
        <w:t>.</w:t>
      </w:r>
      <w:r>
        <w:rPr>
          <w:rFonts w:eastAsia="方正仿宋_GBK" w:cs="Times New Roman"/>
          <w:sz w:val="32"/>
          <w:szCs w:val="32"/>
          <w:lang w:val="en-US" w:eastAsia="zh-CN"/>
        </w:rPr>
        <w:t>16</w:t>
      </w:r>
      <w:r>
        <w:rPr>
          <w:rFonts w:eastAsia="方正仿宋_GBK" w:cs="Times New Roman"/>
          <w:sz w:val="32"/>
          <w:szCs w:val="32"/>
        </w:rPr>
        <w:t>万元</w:t>
      </w:r>
      <w:r>
        <w:rPr>
          <w:rStyle w:val="14"/>
          <w:rFonts w:ascii="Times New Roman" w:hAnsi="Times New Roman" w:eastAsia="方正仿宋_GBK" w:cs="Times New Roman"/>
        </w:rPr>
        <w:t>。</w:t>
      </w:r>
    </w:p>
    <w:p>
      <w:pPr>
        <w:spacing w:line="590" w:lineRule="exact"/>
        <w:ind w:firstLine="640"/>
        <w:rPr>
          <w:rStyle w:val="14"/>
          <w:rFonts w:hint="eastAsia" w:ascii="Times New Roman" w:hAnsi="Times New Roman" w:eastAsia="方正仿宋_GBK"/>
        </w:rPr>
      </w:pPr>
      <w:r>
        <w:rPr>
          <w:rStyle w:val="14"/>
          <w:rFonts w:hint="eastAsia" w:ascii="Times New Roman" w:hAnsi="Times New Roman" w:eastAsia="方正仿宋_GBK"/>
          <w:lang w:val="en-US" w:eastAsia="zh-CN"/>
        </w:rPr>
        <w:t>请</w:t>
      </w:r>
      <w:r>
        <w:rPr>
          <w:rStyle w:val="14"/>
          <w:rFonts w:hint="eastAsia" w:ascii="Times New Roman" w:hAnsi="Times New Roman" w:eastAsia="方正仿宋_GBK"/>
        </w:rPr>
        <w:t>各单位收到资金后，严格按照财政资金管理要求，强化资金绩效管理，科学构建绩效评价指标体系，按照《方案》要求，持续</w:t>
      </w:r>
      <w:r>
        <w:rPr>
          <w:rStyle w:val="14"/>
          <w:rFonts w:hint="eastAsia" w:ascii="Times New Roman" w:hAnsi="Times New Roman" w:eastAsia="方正仿宋_GBK"/>
          <w:lang w:val="en-US" w:eastAsia="zh-CN"/>
        </w:rPr>
        <w:t>优化</w:t>
      </w:r>
      <w:r>
        <w:rPr>
          <w:rStyle w:val="14"/>
          <w:rFonts w:hint="eastAsia" w:ascii="Times New Roman" w:hAnsi="Times New Roman" w:eastAsia="方正仿宋_GBK"/>
        </w:rPr>
        <w:t>南站候机楼运营</w:t>
      </w:r>
      <w:r>
        <w:rPr>
          <w:rStyle w:val="14"/>
          <w:rFonts w:hint="eastAsia" w:ascii="Times New Roman" w:hAnsi="Times New Roman" w:eastAsia="方正仿宋_GBK"/>
          <w:lang w:val="en-US" w:eastAsia="zh-CN"/>
        </w:rPr>
        <w:t>管理</w:t>
      </w:r>
      <w:r>
        <w:rPr>
          <w:rStyle w:val="14"/>
          <w:rFonts w:hint="eastAsia" w:ascii="Times New Roman" w:hAnsi="Times New Roman" w:eastAsia="方正仿宋_GBK"/>
        </w:rPr>
        <w:t>，加</w:t>
      </w:r>
      <w:r>
        <w:rPr>
          <w:rStyle w:val="14"/>
          <w:rFonts w:hint="eastAsia" w:ascii="Times New Roman" w:hAnsi="Times New Roman" w:eastAsia="方正仿宋_GBK"/>
          <w:lang w:val="en-US" w:eastAsia="zh-CN"/>
        </w:rPr>
        <w:t>大</w:t>
      </w:r>
      <w:r>
        <w:rPr>
          <w:rStyle w:val="14"/>
          <w:rFonts w:hint="eastAsia" w:ascii="Times New Roman" w:hAnsi="Times New Roman" w:eastAsia="方正仿宋_GBK"/>
        </w:rPr>
        <w:t>宣传推广</w:t>
      </w:r>
      <w:r>
        <w:rPr>
          <w:rStyle w:val="14"/>
          <w:rFonts w:hint="eastAsia" w:ascii="Times New Roman" w:hAnsi="Times New Roman" w:eastAsia="方正仿宋_GBK"/>
          <w:lang w:val="en-US" w:eastAsia="zh-CN"/>
        </w:rPr>
        <w:t>力度</w:t>
      </w:r>
      <w:r>
        <w:rPr>
          <w:rStyle w:val="14"/>
          <w:rFonts w:hint="eastAsia" w:ascii="Times New Roman" w:hAnsi="Times New Roman" w:eastAsia="方正仿宋_GBK"/>
        </w:rPr>
        <w:t>，</w:t>
      </w:r>
      <w:r>
        <w:rPr>
          <w:rStyle w:val="14"/>
          <w:rFonts w:hint="eastAsia" w:ascii="Times New Roman" w:hAnsi="Times New Roman" w:eastAsia="方正仿宋_GBK"/>
          <w:lang w:val="en-US" w:eastAsia="zh-CN"/>
        </w:rPr>
        <w:t>积极拓展</w:t>
      </w:r>
      <w:r>
        <w:rPr>
          <w:rStyle w:val="14"/>
          <w:rFonts w:hint="eastAsia" w:ascii="Times New Roman" w:hAnsi="Times New Roman" w:eastAsia="方正仿宋_GBK"/>
        </w:rPr>
        <w:t>国际值机业务，全力推动南站候机楼各项工作高质量发展，切实提高资金使用效益。</w:t>
      </w:r>
    </w:p>
    <w:p>
      <w:pPr>
        <w:spacing w:line="590" w:lineRule="exact"/>
        <w:ind w:firstLine="640" w:firstLineChars="200"/>
        <w:rPr>
          <w:rFonts w:hint="eastAsia" w:eastAsia="仿宋_GB2312"/>
          <w:color w:val="000000"/>
          <w:sz w:val="32"/>
          <w:szCs w:val="32"/>
        </w:rPr>
      </w:pPr>
    </w:p>
    <w:p>
      <w:pPr>
        <w:spacing w:line="590" w:lineRule="exact"/>
        <w:ind w:firstLine="630"/>
        <w:rPr>
          <w:rFonts w:eastAsia="仿宋_GB2312" w:cs="Times New Roman"/>
          <w:sz w:val="32"/>
          <w:szCs w:val="32"/>
        </w:rPr>
      </w:pPr>
      <w:r>
        <w:rPr>
          <w:rStyle w:val="14"/>
          <w:rFonts w:hint="eastAsia" w:ascii="Times New Roman" w:hAnsi="Times New Roman" w:eastAsia="方正仿宋_GBK"/>
        </w:rPr>
        <w:t>附件：</w:t>
      </w:r>
      <w:r>
        <w:rPr>
          <w:rStyle w:val="14"/>
          <w:rFonts w:ascii="Times New Roman" w:hAnsi="Times New Roman" w:eastAsia="方正仿宋_GBK" w:cs="Times New Roman"/>
        </w:rPr>
        <w:t>202</w:t>
      </w:r>
      <w:r>
        <w:rPr>
          <w:rStyle w:val="14"/>
          <w:rFonts w:ascii="Times New Roman" w:hAnsi="Times New Roman" w:eastAsia="方正仿宋_GBK" w:cs="Times New Roman"/>
          <w:lang w:val="en-US" w:eastAsia="zh-CN"/>
        </w:rPr>
        <w:t>4</w:t>
      </w:r>
      <w:r>
        <w:rPr>
          <w:rStyle w:val="14"/>
          <w:rFonts w:ascii="Times New Roman" w:hAnsi="Times New Roman" w:eastAsia="方正仿宋_GBK" w:cs="Times New Roman"/>
        </w:rPr>
        <w:t>年度南京南站城市候机楼考核得分明细表</w:t>
      </w:r>
    </w:p>
    <w:p>
      <w:pPr>
        <w:snapToGrid w:val="0"/>
        <w:spacing w:line="590" w:lineRule="exact"/>
        <w:rPr>
          <w:rFonts w:hint="eastAsia" w:eastAsia="仿宋_GB2312"/>
          <w:sz w:val="32"/>
          <w:szCs w:val="32"/>
        </w:rPr>
      </w:pPr>
      <w:r>
        <w:rPr>
          <w:rFonts w:eastAsia="仿宋_GB2312" w:cs="Times New Roman"/>
          <w:sz w:val="32"/>
          <w:szCs w:val="32"/>
        </w:rPr>
        <w:t xml:space="preserve">    </w:t>
      </w:r>
      <w:r>
        <w:rPr>
          <w:rFonts w:eastAsia="仿宋_GB2312" w:cs="Times New Roman"/>
          <w:sz w:val="32"/>
          <w:szCs w:val="32"/>
          <w:lang w:val="en-US" w:eastAsia="zh-CN"/>
        </w:rPr>
        <w:t xml:space="preserve">     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 xml:space="preserve"> </w:t>
      </w:r>
    </w:p>
    <w:p>
      <w:pPr>
        <w:snapToGrid w:val="0"/>
        <w:spacing w:line="590" w:lineRule="exact"/>
        <w:rPr>
          <w:rFonts w:eastAsia="仿宋_GB2312"/>
          <w:sz w:val="32"/>
          <w:szCs w:val="32"/>
        </w:rPr>
      </w:pPr>
    </w:p>
    <w:p>
      <w:pPr>
        <w:snapToGrid w:val="0"/>
        <w:spacing w:line="590" w:lineRule="exact"/>
        <w:rPr>
          <w:rFonts w:hint="eastAsia" w:eastAsia="仿宋_GB2312"/>
          <w:sz w:val="32"/>
          <w:szCs w:val="32"/>
        </w:rPr>
      </w:pPr>
    </w:p>
    <w:p>
      <w:pPr>
        <w:spacing w:line="590" w:lineRule="exact"/>
        <w:rPr>
          <w:rStyle w:val="14"/>
          <w:rFonts w:ascii="Times New Roman" w:hAnsi="Times New Roman" w:eastAsia="方正仿宋_GBK"/>
        </w:rPr>
      </w:pPr>
      <w:r>
        <w:rPr>
          <w:rStyle w:val="14"/>
          <w:rFonts w:hint="eastAsia" w:ascii="Times New Roman" w:hAnsi="Times New Roman" w:eastAsia="方正仿宋_GBK"/>
        </w:rPr>
        <w:t>南京市交通运输局      南京市商务局      南京市财政局</w:t>
      </w:r>
    </w:p>
    <w:p>
      <w:pPr>
        <w:spacing w:line="590" w:lineRule="exact"/>
        <w:ind w:firstLine="630"/>
        <w:rPr>
          <w:rFonts w:hint="eastAsia" w:eastAsia="仿宋_GB2312"/>
          <w:sz w:val="32"/>
          <w:szCs w:val="32"/>
        </w:rPr>
      </w:pPr>
      <w:r>
        <w:rPr>
          <w:rStyle w:val="14"/>
          <w:rFonts w:hint="eastAsia" w:ascii="Times New Roman" w:hAnsi="Times New Roman" w:eastAsia="方正仿宋_GBK"/>
        </w:rPr>
        <w:t xml:space="preserve">                                   </w:t>
      </w:r>
      <w:r>
        <w:rPr>
          <w:rStyle w:val="14"/>
          <w:rFonts w:ascii="Times New Roman" w:hAnsi="Times New Roman" w:eastAsia="方正仿宋_GBK" w:cs="Times New Roman"/>
        </w:rPr>
        <w:t>202</w:t>
      </w:r>
      <w:r>
        <w:rPr>
          <w:rStyle w:val="14"/>
          <w:rFonts w:ascii="Times New Roman" w:hAnsi="Times New Roman" w:eastAsia="方正仿宋_GBK" w:cs="Times New Roman"/>
          <w:lang w:val="en-US" w:eastAsia="zh-CN"/>
        </w:rPr>
        <w:t>5</w:t>
      </w:r>
      <w:r>
        <w:rPr>
          <w:rStyle w:val="14"/>
          <w:rFonts w:hint="eastAsia" w:ascii="Times New Roman" w:hAnsi="Times New Roman" w:eastAsia="方正仿宋_GBK"/>
        </w:rPr>
        <w:t>年</w:t>
      </w:r>
      <w:r>
        <w:rPr>
          <w:rStyle w:val="14"/>
          <w:rFonts w:ascii="Times New Roman" w:hAnsi="Times New Roman" w:eastAsia="方正仿宋_GBK"/>
        </w:rPr>
        <w:t>6</w:t>
      </w:r>
      <w:r>
        <w:rPr>
          <w:rStyle w:val="14"/>
          <w:rFonts w:hint="eastAsia" w:ascii="Times New Roman" w:hAnsi="Times New Roman" w:eastAsia="方正仿宋_GBK"/>
        </w:rPr>
        <w:t>月</w:t>
      </w:r>
      <w:r>
        <w:rPr>
          <w:rStyle w:val="14"/>
          <w:rFonts w:ascii="Times New Roman" w:hAnsi="Times New Roman" w:eastAsia="方正仿宋_GBK"/>
        </w:rPr>
        <w:t>9</w:t>
      </w:r>
      <w:r>
        <w:rPr>
          <w:rStyle w:val="14"/>
          <w:rFonts w:hint="eastAsia" w:ascii="Times New Roman" w:hAnsi="Times New Roman" w:eastAsia="方正仿宋_GBK"/>
        </w:rPr>
        <w:t>日</w:t>
      </w:r>
    </w:p>
    <w:p>
      <w:pPr>
        <w:pStyle w:val="6"/>
        <w:snapToGrid w:val="0"/>
        <w:spacing w:line="400" w:lineRule="exact"/>
        <w:rPr>
          <w:rFonts w:ascii="Times New Roman" w:hAnsi="Times New Roman"/>
        </w:rPr>
      </w:pPr>
    </w:p>
    <w:tbl>
      <w:tblPr>
        <w:tblStyle w:val="9"/>
        <w:tblpPr w:leftFromText="180" w:rightFromText="180" w:vertAnchor="text" w:horzAnchor="page" w:tblpX="1751" w:tblpY="6372"/>
        <w:tblOverlap w:val="never"/>
        <w:tblW w:w="0" w:type="auto"/>
        <w:tblInd w:w="0" w:type="dxa"/>
        <w:tblBorders>
          <w:top w:val="none" w:color="auto" w:sz="0" w:space="0"/>
          <w:left w:val="none" w:color="auto" w:sz="0" w:space="0"/>
          <w:bottom w:val="single" w:color="000000" w:sz="8" w:space="0"/>
          <w:right w:val="none" w:color="auto" w:sz="0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61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8" w:space="0"/>
            <w:right w:val="none" w:color="auto" w:sz="0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3" w:hRule="atLeast"/>
        </w:trPr>
        <w:tc>
          <w:tcPr>
            <w:tcW w:w="8861" w:type="dxa"/>
            <w:tcBorders>
              <w:top w:val="single" w:color="000000" w:sz="8" w:space="0"/>
              <w:left w:val="nil"/>
              <w:bottom w:val="single" w:color="000000" w:sz="8" w:space="0"/>
              <w:right w:val="nil"/>
              <w:tl2br w:val="nil"/>
              <w:tr2bl w:val="nil"/>
            </w:tcBorders>
            <w:noWrap/>
          </w:tcPr>
          <w:p>
            <w:pPr>
              <w:autoSpaceDE w:val="0"/>
              <w:autoSpaceDN w:val="0"/>
              <w:spacing w:line="560" w:lineRule="atLeast"/>
              <w:jc w:val="left"/>
              <w:rPr>
                <w:rFonts w:hint="eastAsia" w:eastAsia="仿宋_GB2312"/>
                <w:kern w:val="0"/>
                <w:sz w:val="28"/>
                <w:szCs w:val="28"/>
              </w:rPr>
            </w:pPr>
            <w:r>
              <w:rPr>
                <w:rFonts w:hint="eastAsia" w:eastAsia="仿宋_GB2312"/>
                <w:kern w:val="0"/>
                <w:sz w:val="28"/>
                <w:szCs w:val="28"/>
              </w:rPr>
              <w:t xml:space="preserve">  南京市交通运输局办公室         </w:t>
            </w:r>
            <w:r>
              <w:rPr>
                <w:rFonts w:eastAsia="仿宋_GB2312"/>
                <w:kern w:val="0"/>
                <w:sz w:val="28"/>
                <w:szCs w:val="28"/>
              </w:rPr>
              <w:t xml:space="preserve">        </w:t>
            </w:r>
            <w:r>
              <w:rPr>
                <w:rFonts w:hint="eastAsia" w:eastAsia="仿宋_GB2312"/>
                <w:kern w:val="0"/>
                <w:sz w:val="28"/>
                <w:szCs w:val="28"/>
              </w:rPr>
              <w:t xml:space="preserve">  202</w:t>
            </w:r>
            <w:r>
              <w:rPr>
                <w:rFonts w:hint="eastAsia" w:eastAsia="仿宋_GB2312"/>
                <w:kern w:val="0"/>
                <w:sz w:val="28"/>
                <w:szCs w:val="28"/>
                <w:lang w:val="en-US" w:eastAsia="zh-CN"/>
              </w:rPr>
              <w:t>5</w:t>
            </w:r>
            <w:r>
              <w:rPr>
                <w:rFonts w:hint="eastAsia" w:eastAsia="仿宋_GB2312"/>
                <w:kern w:val="0"/>
                <w:sz w:val="28"/>
                <w:szCs w:val="28"/>
              </w:rPr>
              <w:t>年</w:t>
            </w:r>
            <w:r>
              <w:rPr>
                <w:rFonts w:eastAsia="仿宋_GB2312"/>
                <w:kern w:val="0"/>
                <w:sz w:val="28"/>
                <w:szCs w:val="28"/>
              </w:rPr>
              <w:t>6</w:t>
            </w:r>
            <w:r>
              <w:rPr>
                <w:rFonts w:hint="eastAsia" w:eastAsia="仿宋_GB2312"/>
                <w:kern w:val="0"/>
                <w:sz w:val="28"/>
                <w:szCs w:val="28"/>
              </w:rPr>
              <w:t>月</w:t>
            </w:r>
            <w:r>
              <w:rPr>
                <w:rFonts w:eastAsia="仿宋_GB2312"/>
                <w:kern w:val="0"/>
                <w:sz w:val="28"/>
                <w:szCs w:val="28"/>
              </w:rPr>
              <w:t>9</w:t>
            </w:r>
            <w:r>
              <w:rPr>
                <w:rFonts w:hint="eastAsia" w:eastAsia="仿宋_GB2312"/>
                <w:kern w:val="0"/>
                <w:sz w:val="28"/>
                <w:szCs w:val="28"/>
              </w:rPr>
              <w:t>日印发</w:t>
            </w:r>
          </w:p>
        </w:tc>
      </w:tr>
    </w:tbl>
    <w:p>
      <w:pPr>
        <w:sectPr>
          <w:footerReference r:id="rId7" w:type="first"/>
          <w:headerReference r:id="rId3" w:type="default"/>
          <w:footerReference r:id="rId5" w:type="default"/>
          <w:headerReference r:id="rId4" w:type="even"/>
          <w:footerReference r:id="rId6" w:type="even"/>
          <w:pgSz w:w="11906" w:h="16838"/>
          <w:pgMar w:top="1985" w:right="1474" w:bottom="1985" w:left="1588" w:header="851" w:footer="1418" w:gutter="0"/>
          <w:pgNumType w:fmt="numberInDash"/>
          <w:cols w:space="720" w:num="1"/>
          <w:docGrid w:type="lines" w:linePitch="312" w:charSpace="0"/>
        </w:sectPr>
      </w:pPr>
    </w:p>
    <w:p>
      <w:pPr>
        <w:widowControl/>
        <w:spacing w:after="62" w:line="560" w:lineRule="exact"/>
        <w:rPr>
          <w:rFonts w:eastAsia="方正小标宋简体"/>
          <w:color w:val="000000"/>
          <w:kern w:val="0"/>
          <w:sz w:val="32"/>
          <w:szCs w:val="32"/>
        </w:rPr>
      </w:pPr>
      <w:r>
        <w:rPr>
          <w:rFonts w:hint="eastAsia" w:eastAsia="黑体"/>
          <w:color w:val="000000"/>
          <w:kern w:val="0"/>
          <w:sz w:val="32"/>
          <w:szCs w:val="32"/>
        </w:rPr>
        <w:t>附件</w:t>
      </w:r>
      <w:r>
        <w:rPr>
          <w:rFonts w:eastAsia="方正小标宋简体"/>
          <w:color w:val="000000"/>
          <w:kern w:val="0"/>
          <w:sz w:val="32"/>
          <w:szCs w:val="32"/>
        </w:rPr>
        <w:t>1</w:t>
      </w:r>
    </w:p>
    <w:p>
      <w:pPr>
        <w:widowControl/>
        <w:spacing w:after="62" w:line="560" w:lineRule="exact"/>
        <w:jc w:val="center"/>
        <w:rPr>
          <w:rFonts w:hint="eastAsia" w:eastAsia="方正小标宋简体"/>
          <w:color w:val="000000"/>
          <w:kern w:val="0"/>
          <w:sz w:val="44"/>
          <w:szCs w:val="44"/>
        </w:rPr>
      </w:pPr>
      <w:r>
        <w:rPr>
          <w:rFonts w:hint="eastAsia" w:eastAsia="方正小标宋简体"/>
          <w:color w:val="000000"/>
          <w:kern w:val="0"/>
          <w:sz w:val="44"/>
          <w:szCs w:val="44"/>
        </w:rPr>
        <w:t>202</w:t>
      </w:r>
      <w:r>
        <w:rPr>
          <w:rFonts w:hint="eastAsia" w:eastAsia="方正小标宋简体"/>
          <w:color w:val="000000"/>
          <w:kern w:val="0"/>
          <w:sz w:val="44"/>
          <w:szCs w:val="44"/>
          <w:lang w:val="en-US" w:eastAsia="zh-CN"/>
        </w:rPr>
        <w:t>4</w:t>
      </w:r>
      <w:r>
        <w:rPr>
          <w:rFonts w:hint="eastAsia" w:eastAsia="方正小标宋简体"/>
          <w:color w:val="000000"/>
          <w:kern w:val="0"/>
          <w:sz w:val="44"/>
          <w:szCs w:val="44"/>
        </w:rPr>
        <w:t>年度南京南站城市候机楼考核得分明细表</w:t>
      </w:r>
    </w:p>
    <w:p>
      <w:pPr>
        <w:widowControl/>
        <w:spacing w:before="156" w:after="156" w:line="400" w:lineRule="exact"/>
        <w:jc w:val="center"/>
        <w:rPr>
          <w:rFonts w:eastAsia="仿宋_GB2312"/>
          <w:color w:val="000000"/>
          <w:kern w:val="0"/>
          <w:szCs w:val="21"/>
          <w:lang w:val="en-US" w:eastAsia="zh-CN"/>
        </w:rPr>
      </w:pPr>
      <w:r>
        <w:rPr>
          <w:rFonts w:hint="eastAsia" w:eastAsia="仿宋_GB2312"/>
          <w:sz w:val="32"/>
          <w:szCs w:val="32"/>
        </w:rPr>
        <w:t xml:space="preserve">                                                             考核时间：202</w:t>
      </w:r>
      <w:r>
        <w:rPr>
          <w:rFonts w:hint="eastAsia" w:eastAsia="仿宋_GB2312"/>
          <w:sz w:val="32"/>
          <w:szCs w:val="32"/>
          <w:lang w:val="en-US" w:eastAsia="zh-CN"/>
        </w:rPr>
        <w:t>5</w:t>
      </w:r>
      <w:r>
        <w:rPr>
          <w:rFonts w:hint="eastAsia" w:eastAsia="仿宋_GB2312"/>
          <w:sz w:val="32"/>
          <w:szCs w:val="32"/>
        </w:rPr>
        <w:t>.0</w:t>
      </w:r>
      <w:r>
        <w:rPr>
          <w:rFonts w:hint="eastAsia" w:eastAsia="仿宋_GB2312"/>
          <w:sz w:val="32"/>
          <w:szCs w:val="32"/>
          <w:lang w:val="en-US" w:eastAsia="zh-CN"/>
        </w:rPr>
        <w:t>4</w:t>
      </w:r>
      <w:r>
        <w:rPr>
          <w:rFonts w:hint="eastAsia" w:eastAsia="仿宋_GB2312"/>
          <w:sz w:val="32"/>
          <w:szCs w:val="32"/>
        </w:rPr>
        <w:t>.</w:t>
      </w:r>
      <w:r>
        <w:rPr>
          <w:rFonts w:hint="eastAsia" w:eastAsia="仿宋_GB2312"/>
          <w:sz w:val="32"/>
          <w:szCs w:val="32"/>
          <w:lang w:val="en-US" w:eastAsia="zh-CN"/>
        </w:rPr>
        <w:t>28</w:t>
      </w:r>
    </w:p>
    <w:tbl>
      <w:tblPr>
        <w:tblStyle w:val="9"/>
        <w:tblW w:w="1400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3"/>
        <w:gridCol w:w="1165"/>
        <w:gridCol w:w="2798"/>
        <w:gridCol w:w="5352"/>
        <w:gridCol w:w="978"/>
        <w:gridCol w:w="1609"/>
        <w:gridCol w:w="13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tblHeader/>
          <w:jc w:val="center"/>
        </w:trPr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kern w:val="0"/>
                <w:szCs w:val="21"/>
              </w:rPr>
              <w:t>考核指标及分值</w:t>
            </w:r>
          </w:p>
        </w:tc>
        <w:tc>
          <w:tcPr>
            <w:tcW w:w="27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kern w:val="0"/>
                <w:szCs w:val="21"/>
              </w:rPr>
              <w:t>指标内容</w:t>
            </w:r>
          </w:p>
        </w:tc>
        <w:tc>
          <w:tcPr>
            <w:tcW w:w="5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kern w:val="0"/>
                <w:szCs w:val="21"/>
              </w:rPr>
              <w:t>评分细则</w:t>
            </w:r>
          </w:p>
        </w:tc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kern w:val="0"/>
                <w:szCs w:val="21"/>
              </w:rPr>
              <w:t>得分</w:t>
            </w:r>
          </w:p>
        </w:tc>
        <w:tc>
          <w:tcPr>
            <w:tcW w:w="1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kern w:val="0"/>
                <w:szCs w:val="21"/>
              </w:rPr>
              <w:t>考核单位</w:t>
            </w:r>
          </w:p>
        </w:tc>
        <w:tc>
          <w:tcPr>
            <w:tcW w:w="1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kern w:val="0"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78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kern w:val="0"/>
                <w:szCs w:val="21"/>
              </w:rPr>
              <w:t>一</w:t>
            </w:r>
          </w:p>
        </w:tc>
        <w:tc>
          <w:tcPr>
            <w:tcW w:w="116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kern w:val="0"/>
                <w:szCs w:val="21"/>
              </w:rPr>
              <w:t>安全生产（30分）</w:t>
            </w:r>
          </w:p>
        </w:tc>
        <w:tc>
          <w:tcPr>
            <w:tcW w:w="27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spacing w:line="260" w:lineRule="exact"/>
              <w:jc w:val="left"/>
              <w:rPr>
                <w:rFonts w:hint="eastAsia"/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1、有责交通事故率(6分)</w:t>
            </w:r>
          </w:p>
        </w:tc>
        <w:tc>
          <w:tcPr>
            <w:tcW w:w="5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spacing w:line="260" w:lineRule="exact"/>
              <w:rPr>
                <w:rFonts w:hint="eastAsia"/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企业车辆年度交通事故率超过指标值的，每增加0.1，扣0.1分，扣完为止；等于或小于指标值的，不扣分</w:t>
            </w:r>
          </w:p>
        </w:tc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/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6</w:t>
            </w:r>
          </w:p>
        </w:tc>
        <w:tc>
          <w:tcPr>
            <w:tcW w:w="160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/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市交通运输局</w:t>
            </w:r>
          </w:p>
        </w:tc>
        <w:tc>
          <w:tcPr>
            <w:tcW w:w="1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spacing w:line="260" w:lineRule="exact"/>
              <w:rPr>
                <w:rFonts w:hint="eastAsia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" w:hRule="atLeast"/>
          <w:jc w:val="center"/>
        </w:trPr>
        <w:tc>
          <w:tcPr>
            <w:tcW w:w="78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/>
        </w:tc>
        <w:tc>
          <w:tcPr>
            <w:tcW w:w="11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/>
        </w:tc>
        <w:tc>
          <w:tcPr>
            <w:tcW w:w="27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spacing w:line="260" w:lineRule="exact"/>
              <w:jc w:val="left"/>
              <w:rPr>
                <w:rFonts w:hint="eastAsia"/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2、同责及以上等级事故亡人责任数(8分)</w:t>
            </w:r>
          </w:p>
        </w:tc>
        <w:tc>
          <w:tcPr>
            <w:tcW w:w="5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spacing w:line="260" w:lineRule="exact"/>
              <w:rPr>
                <w:rFonts w:hint="eastAsia"/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企业车辆承担同责及以上责任事故死亡人数超过指标值的，每超过1人扣2分，扣完为止；等于或小于指标值的，不扣分</w:t>
            </w:r>
          </w:p>
        </w:tc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/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8</w:t>
            </w:r>
          </w:p>
        </w:tc>
        <w:tc>
          <w:tcPr>
            <w:tcW w:w="16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/>
        </w:tc>
        <w:tc>
          <w:tcPr>
            <w:tcW w:w="1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spacing w:line="260" w:lineRule="exact"/>
              <w:rPr>
                <w:rFonts w:hint="eastAsia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78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/>
        </w:tc>
        <w:tc>
          <w:tcPr>
            <w:tcW w:w="11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/>
        </w:tc>
        <w:tc>
          <w:tcPr>
            <w:tcW w:w="27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spacing w:line="260" w:lineRule="exact"/>
              <w:jc w:val="left"/>
              <w:rPr>
                <w:rFonts w:hint="eastAsia"/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3、企业安全生产主体责任落实情况(10分)</w:t>
            </w:r>
          </w:p>
        </w:tc>
        <w:tc>
          <w:tcPr>
            <w:tcW w:w="5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spacing w:line="260" w:lineRule="exact"/>
              <w:rPr>
                <w:rFonts w:hint="eastAsia"/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依据行业监管记录进行考核，每发生1次不合格或有缺项的，扣2分，本子项分值扣完为止</w:t>
            </w:r>
          </w:p>
        </w:tc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eastAsia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/>
                <w:color w:val="000000"/>
                <w:kern w:val="0"/>
                <w:szCs w:val="21"/>
                <w:lang w:val="en-US" w:eastAsia="zh-CN"/>
              </w:rPr>
              <w:t>8</w:t>
            </w:r>
          </w:p>
        </w:tc>
        <w:tc>
          <w:tcPr>
            <w:tcW w:w="16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/>
        </w:tc>
        <w:tc>
          <w:tcPr>
            <w:tcW w:w="1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spacing w:line="260" w:lineRule="exact"/>
              <w:rPr>
                <w:rFonts w:hint="eastAsia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  <w:jc w:val="center"/>
        </w:trPr>
        <w:tc>
          <w:tcPr>
            <w:tcW w:w="78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/>
        </w:tc>
        <w:tc>
          <w:tcPr>
            <w:tcW w:w="11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/>
        </w:tc>
        <w:tc>
          <w:tcPr>
            <w:tcW w:w="27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spacing w:line="260" w:lineRule="exact"/>
              <w:jc w:val="left"/>
              <w:rPr>
                <w:rFonts w:hint="eastAsia"/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4、安全信息上报情况(6分)</w:t>
            </w:r>
          </w:p>
        </w:tc>
        <w:tc>
          <w:tcPr>
            <w:tcW w:w="5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spacing w:line="260" w:lineRule="exact"/>
              <w:rPr>
                <w:rFonts w:hint="eastAsia"/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发现有未按要求上报的，1次扣1分；如因漏报瞒报等情况导致管理部门安全信息倒流的，该子项不得分</w:t>
            </w:r>
          </w:p>
        </w:tc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/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6</w:t>
            </w:r>
          </w:p>
        </w:tc>
        <w:tc>
          <w:tcPr>
            <w:tcW w:w="16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/>
        </w:tc>
        <w:tc>
          <w:tcPr>
            <w:tcW w:w="1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spacing w:line="260" w:lineRule="exact"/>
              <w:rPr>
                <w:rFonts w:hint="eastAsia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  <w:jc w:val="center"/>
        </w:trPr>
        <w:tc>
          <w:tcPr>
            <w:tcW w:w="78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/>
        </w:tc>
        <w:tc>
          <w:tcPr>
            <w:tcW w:w="11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/>
        </w:tc>
        <w:tc>
          <w:tcPr>
            <w:tcW w:w="27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spacing w:line="260" w:lineRule="exact"/>
              <w:jc w:val="left"/>
              <w:rPr>
                <w:rFonts w:hint="eastAsia"/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5、重特大责任安全事故（否决指标）</w:t>
            </w:r>
          </w:p>
        </w:tc>
        <w:tc>
          <w:tcPr>
            <w:tcW w:w="5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spacing w:line="260" w:lineRule="exact"/>
              <w:rPr>
                <w:rFonts w:hint="eastAsia"/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发生重特大责任安全事故，为否决性指标，安全生产指标不得分</w:t>
            </w:r>
          </w:p>
        </w:tc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/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无</w:t>
            </w:r>
          </w:p>
        </w:tc>
        <w:tc>
          <w:tcPr>
            <w:tcW w:w="16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/>
        </w:tc>
        <w:tc>
          <w:tcPr>
            <w:tcW w:w="1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spacing w:line="260" w:lineRule="exact"/>
              <w:rPr>
                <w:rFonts w:hint="eastAsia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8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kern w:val="0"/>
                <w:szCs w:val="21"/>
              </w:rPr>
              <w:t>二</w:t>
            </w:r>
          </w:p>
        </w:tc>
        <w:tc>
          <w:tcPr>
            <w:tcW w:w="116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kern w:val="0"/>
                <w:szCs w:val="21"/>
              </w:rPr>
              <w:t>营运服务（55分）</w:t>
            </w:r>
          </w:p>
        </w:tc>
        <w:tc>
          <w:tcPr>
            <w:tcW w:w="279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spacing w:line="260" w:lineRule="exact"/>
              <w:jc w:val="left"/>
              <w:rPr>
                <w:rFonts w:hint="eastAsia"/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1、各项检查合格率(15分)</w:t>
            </w:r>
            <w:r>
              <w:rPr>
                <w:rFonts w:hint="eastAsia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/>
                <w:color w:val="000000"/>
                <w:kern w:val="0"/>
                <w:szCs w:val="21"/>
              </w:rPr>
              <w:t>1.1、营运服务(5分)</w:t>
            </w:r>
            <w:r>
              <w:rPr>
                <w:rFonts w:hint="eastAsia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/>
                <w:color w:val="000000"/>
                <w:kern w:val="0"/>
                <w:szCs w:val="21"/>
              </w:rPr>
              <w:t>1.2、运力调度(5分)</w:t>
            </w:r>
            <w:r>
              <w:rPr>
                <w:rFonts w:hint="eastAsia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/>
                <w:color w:val="000000"/>
                <w:kern w:val="0"/>
                <w:szCs w:val="21"/>
              </w:rPr>
              <w:t>1.3、车辆装备(5分)</w:t>
            </w:r>
          </w:p>
        </w:tc>
        <w:tc>
          <w:tcPr>
            <w:tcW w:w="535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spacing w:line="260" w:lineRule="exact"/>
              <w:rPr>
                <w:rFonts w:hint="eastAsia"/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按日常稽查项目的综合合格率进行考核（服务规范、安全规范、车容车貌、站容站貌等）。综合合格率≥98%的，不扣分；综合合格率＜98%的，每低1%扣0.2分，本子项分值扣完为止</w:t>
            </w:r>
          </w:p>
        </w:tc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/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160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/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市交通运输局</w:t>
            </w:r>
          </w:p>
        </w:tc>
        <w:tc>
          <w:tcPr>
            <w:tcW w:w="132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spacing w:line="260" w:lineRule="exact"/>
              <w:rPr>
                <w:rFonts w:hint="eastAsia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8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/>
        </w:tc>
        <w:tc>
          <w:tcPr>
            <w:tcW w:w="11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/>
        </w:tc>
        <w:tc>
          <w:tcPr>
            <w:tcW w:w="279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/>
        </w:tc>
        <w:tc>
          <w:tcPr>
            <w:tcW w:w="53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/>
        </w:tc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/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16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/>
        </w:tc>
        <w:tc>
          <w:tcPr>
            <w:tcW w:w="132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8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/>
        </w:tc>
        <w:tc>
          <w:tcPr>
            <w:tcW w:w="11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/>
        </w:tc>
        <w:tc>
          <w:tcPr>
            <w:tcW w:w="279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/>
        </w:tc>
        <w:tc>
          <w:tcPr>
            <w:tcW w:w="53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/>
        </w:tc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/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16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/>
        </w:tc>
        <w:tc>
          <w:tcPr>
            <w:tcW w:w="132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6" w:hRule="atLeast"/>
          <w:jc w:val="center"/>
        </w:trPr>
        <w:tc>
          <w:tcPr>
            <w:tcW w:w="78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/>
        </w:tc>
        <w:tc>
          <w:tcPr>
            <w:tcW w:w="11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/>
        </w:tc>
        <w:tc>
          <w:tcPr>
            <w:tcW w:w="27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spacing w:line="260" w:lineRule="exact"/>
              <w:jc w:val="left"/>
              <w:rPr>
                <w:rFonts w:hint="eastAsia"/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2、国际值机（10分）</w:t>
            </w:r>
          </w:p>
        </w:tc>
        <w:tc>
          <w:tcPr>
            <w:tcW w:w="5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spacing w:line="260" w:lineRule="exact"/>
              <w:rPr>
                <w:rFonts w:hint="eastAsia"/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每恢复一条国际航线值机业务得2.5分，新开一条国际航线值机业务得4分，本子项最高得10分</w:t>
            </w:r>
            <w:r>
              <w:rPr>
                <w:rFonts w:hint="eastAsia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/>
                <w:color w:val="000000"/>
                <w:kern w:val="0"/>
                <w:szCs w:val="21"/>
              </w:rPr>
              <w:t>如有大力推动国际航线值机业务开展的工作举措，酌情1-2分，最高得2分</w:t>
            </w:r>
          </w:p>
        </w:tc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spacing w:line="260" w:lineRule="exact"/>
              <w:jc w:val="center"/>
              <w:rPr>
                <w:rFonts w:eastAsia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Cs w:val="21"/>
                <w:lang w:val="en-US" w:eastAsia="zh-CN"/>
              </w:rPr>
              <w:t>4.5</w:t>
            </w:r>
          </w:p>
        </w:tc>
        <w:tc>
          <w:tcPr>
            <w:tcW w:w="1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/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市商务局</w:t>
            </w:r>
          </w:p>
        </w:tc>
        <w:tc>
          <w:tcPr>
            <w:tcW w:w="1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spacing w:line="260" w:lineRule="exact"/>
              <w:rPr>
                <w:rFonts w:hint="eastAsia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78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/>
        </w:tc>
        <w:tc>
          <w:tcPr>
            <w:tcW w:w="11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/>
        </w:tc>
        <w:tc>
          <w:tcPr>
            <w:tcW w:w="27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spacing w:line="260" w:lineRule="exact"/>
              <w:jc w:val="left"/>
              <w:rPr>
                <w:rFonts w:hint="eastAsia"/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3、旅客运输量（10分）</w:t>
            </w:r>
          </w:p>
        </w:tc>
        <w:tc>
          <w:tcPr>
            <w:tcW w:w="5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spacing w:line="260" w:lineRule="exact"/>
              <w:rPr>
                <w:rFonts w:hint="eastAsia"/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26、旅客运输量超过前三年运输量均值的不扣分，未超过的每低0.1%扣0.1分，本子项分值扣完为止</w:t>
            </w:r>
          </w:p>
        </w:tc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spacing w:line="260" w:lineRule="exact"/>
              <w:jc w:val="center"/>
              <w:rPr>
                <w:rFonts w:eastAsia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1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/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市交通运输局</w:t>
            </w:r>
            <w:r>
              <w:rPr>
                <w:rFonts w:hint="eastAsia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/>
                <w:color w:val="000000"/>
                <w:kern w:val="0"/>
                <w:szCs w:val="21"/>
              </w:rPr>
              <w:t>市商务局</w:t>
            </w:r>
          </w:p>
        </w:tc>
        <w:tc>
          <w:tcPr>
            <w:tcW w:w="1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/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平均得分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78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kern w:val="0"/>
                <w:szCs w:val="21"/>
              </w:rPr>
              <w:t>二</w:t>
            </w:r>
          </w:p>
        </w:tc>
        <w:tc>
          <w:tcPr>
            <w:tcW w:w="116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kern w:val="0"/>
                <w:szCs w:val="21"/>
              </w:rPr>
              <w:t>营运服务（55分）</w:t>
            </w:r>
          </w:p>
        </w:tc>
        <w:tc>
          <w:tcPr>
            <w:tcW w:w="279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spacing w:line="260" w:lineRule="exact"/>
              <w:jc w:val="left"/>
              <w:rPr>
                <w:rFonts w:hint="eastAsia"/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4、宣传推广及乘客知晓度（20分）</w:t>
            </w:r>
            <w:r>
              <w:rPr>
                <w:rFonts w:hint="eastAsia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/>
                <w:color w:val="000000"/>
                <w:kern w:val="0"/>
                <w:szCs w:val="21"/>
              </w:rPr>
              <w:t>4.1、制作宣传册等(4分)</w:t>
            </w:r>
            <w:r>
              <w:rPr>
                <w:rFonts w:hint="eastAsia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/>
                <w:color w:val="000000"/>
                <w:kern w:val="0"/>
                <w:szCs w:val="21"/>
              </w:rPr>
              <w:t>4.2、机场等相关微信公众号联动推介(4分)</w:t>
            </w:r>
            <w:r>
              <w:rPr>
                <w:rFonts w:hint="eastAsia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/>
                <w:color w:val="000000"/>
                <w:kern w:val="0"/>
                <w:szCs w:val="21"/>
              </w:rPr>
              <w:t>4.3、开展线上推广活动</w:t>
            </w:r>
          </w:p>
          <w:p>
            <w:pPr>
              <w:widowControl/>
              <w:spacing w:line="260" w:lineRule="exact"/>
              <w:jc w:val="left"/>
              <w:rPr>
                <w:rFonts w:hint="eastAsia"/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(4分)</w:t>
            </w:r>
            <w:r>
              <w:rPr>
                <w:rFonts w:hint="eastAsia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/>
                <w:color w:val="000000"/>
                <w:kern w:val="0"/>
                <w:szCs w:val="21"/>
              </w:rPr>
              <w:t>4.4、组织或参与线下宣传推介活动(4分)</w:t>
            </w:r>
            <w:r>
              <w:rPr>
                <w:rFonts w:hint="eastAsia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/>
                <w:color w:val="000000"/>
                <w:kern w:val="0"/>
                <w:szCs w:val="21"/>
              </w:rPr>
              <w:t>4.5、开发优惠产品吸引公众关注（4分）</w:t>
            </w:r>
          </w:p>
        </w:tc>
        <w:tc>
          <w:tcPr>
            <w:tcW w:w="535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spacing w:line="260" w:lineRule="exact"/>
              <w:rPr>
                <w:rFonts w:hint="eastAsia"/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每完成1项得4分，本子项最高得20分</w:t>
            </w:r>
          </w:p>
        </w:tc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/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160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/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市交通运输局</w:t>
            </w:r>
          </w:p>
          <w:p>
            <w:pPr>
              <w:widowControl/>
              <w:spacing w:line="260" w:lineRule="exact"/>
              <w:jc w:val="center"/>
              <w:rPr>
                <w:rFonts w:hint="eastAsia"/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市商务局</w:t>
            </w:r>
            <w:r>
              <w:rPr>
                <w:rFonts w:hint="eastAsia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/>
                <w:color w:val="000000"/>
                <w:kern w:val="0"/>
                <w:szCs w:val="21"/>
              </w:rPr>
              <w:t>市财政局</w:t>
            </w:r>
          </w:p>
        </w:tc>
        <w:tc>
          <w:tcPr>
            <w:tcW w:w="132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/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平均得分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78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/>
        </w:tc>
        <w:tc>
          <w:tcPr>
            <w:tcW w:w="11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/>
        </w:tc>
        <w:tc>
          <w:tcPr>
            <w:tcW w:w="279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/>
        </w:tc>
        <w:tc>
          <w:tcPr>
            <w:tcW w:w="53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/>
        </w:tc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/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3.67</w:t>
            </w:r>
          </w:p>
        </w:tc>
        <w:tc>
          <w:tcPr>
            <w:tcW w:w="16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/>
        </w:tc>
        <w:tc>
          <w:tcPr>
            <w:tcW w:w="132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78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/>
        </w:tc>
        <w:tc>
          <w:tcPr>
            <w:tcW w:w="11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/>
        </w:tc>
        <w:tc>
          <w:tcPr>
            <w:tcW w:w="279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/>
        </w:tc>
        <w:tc>
          <w:tcPr>
            <w:tcW w:w="53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/>
        </w:tc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eastAsia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/>
                <w:color w:val="000000"/>
                <w:kern w:val="0"/>
                <w:szCs w:val="21"/>
                <w:lang w:val="en-US" w:eastAsia="zh-CN"/>
              </w:rPr>
              <w:t>4</w:t>
            </w:r>
          </w:p>
        </w:tc>
        <w:tc>
          <w:tcPr>
            <w:tcW w:w="16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/>
        </w:tc>
        <w:tc>
          <w:tcPr>
            <w:tcW w:w="132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78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/>
        </w:tc>
        <w:tc>
          <w:tcPr>
            <w:tcW w:w="11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/>
        </w:tc>
        <w:tc>
          <w:tcPr>
            <w:tcW w:w="279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/>
        </w:tc>
        <w:tc>
          <w:tcPr>
            <w:tcW w:w="53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/>
        </w:tc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/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16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/>
        </w:tc>
        <w:tc>
          <w:tcPr>
            <w:tcW w:w="132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78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/>
        </w:tc>
        <w:tc>
          <w:tcPr>
            <w:tcW w:w="11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/>
        </w:tc>
        <w:tc>
          <w:tcPr>
            <w:tcW w:w="279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/>
        </w:tc>
        <w:tc>
          <w:tcPr>
            <w:tcW w:w="53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/>
        </w:tc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/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16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/>
        </w:tc>
        <w:tc>
          <w:tcPr>
            <w:tcW w:w="132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8" w:hRule="atLeast"/>
          <w:jc w:val="center"/>
        </w:trPr>
        <w:tc>
          <w:tcPr>
            <w:tcW w:w="78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kern w:val="0"/>
                <w:szCs w:val="21"/>
              </w:rPr>
              <w:t>三</w:t>
            </w:r>
          </w:p>
        </w:tc>
        <w:tc>
          <w:tcPr>
            <w:tcW w:w="116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kern w:val="0"/>
                <w:szCs w:val="21"/>
              </w:rPr>
              <w:t>社会反响</w:t>
            </w:r>
            <w:r>
              <w:rPr>
                <w:rFonts w:hint="eastAsia"/>
                <w:b/>
                <w:bCs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/>
                <w:b/>
                <w:bCs/>
                <w:color w:val="000000"/>
                <w:kern w:val="0"/>
                <w:szCs w:val="21"/>
              </w:rPr>
              <w:t>（15分）</w:t>
            </w:r>
          </w:p>
        </w:tc>
        <w:tc>
          <w:tcPr>
            <w:tcW w:w="27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spacing w:line="260" w:lineRule="exact"/>
              <w:jc w:val="left"/>
              <w:rPr>
                <w:rFonts w:hint="eastAsia"/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1、投诉处理情况（企业直接处理）(5分)</w:t>
            </w:r>
          </w:p>
        </w:tc>
        <w:tc>
          <w:tcPr>
            <w:tcW w:w="5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spacing w:line="260" w:lineRule="exact"/>
              <w:rPr>
                <w:rFonts w:hint="eastAsia"/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投诉受理、办结率达100%，满意率达92%的，不扣分；“三率”低于本标准值的，每率每低1%扣0.2分,本子项分值扣完为止</w:t>
            </w:r>
          </w:p>
        </w:tc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/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160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/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市交通运输局</w:t>
            </w:r>
          </w:p>
        </w:tc>
        <w:tc>
          <w:tcPr>
            <w:tcW w:w="1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spacing w:line="260" w:lineRule="exact"/>
              <w:rPr>
                <w:rFonts w:hint="eastAsia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78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/>
        </w:tc>
        <w:tc>
          <w:tcPr>
            <w:tcW w:w="11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/>
        </w:tc>
        <w:tc>
          <w:tcPr>
            <w:tcW w:w="27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spacing w:line="260" w:lineRule="exact"/>
              <w:jc w:val="left"/>
              <w:rPr>
                <w:rFonts w:hint="eastAsia"/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2、投诉、建议、提案办理情况（行业管理部门交办）</w:t>
            </w:r>
          </w:p>
          <w:p>
            <w:pPr>
              <w:widowControl/>
              <w:spacing w:line="260" w:lineRule="exact"/>
              <w:jc w:val="left"/>
              <w:rPr>
                <w:rFonts w:hint="eastAsia"/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(5分)</w:t>
            </w:r>
          </w:p>
        </w:tc>
        <w:tc>
          <w:tcPr>
            <w:tcW w:w="5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spacing w:line="260" w:lineRule="exact"/>
              <w:rPr>
                <w:rFonts w:hint="eastAsia"/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由行业管理部门交办企业处理的投诉、建议、提案等，处理不力或不到位的，按不满意件的数量考核，每件扣1分，本子项分值扣完为止</w:t>
            </w:r>
          </w:p>
        </w:tc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/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16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/>
        </w:tc>
        <w:tc>
          <w:tcPr>
            <w:tcW w:w="1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spacing w:line="260" w:lineRule="exact"/>
              <w:rPr>
                <w:rFonts w:hint="eastAsia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78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/>
        </w:tc>
        <w:tc>
          <w:tcPr>
            <w:tcW w:w="11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/>
        </w:tc>
        <w:tc>
          <w:tcPr>
            <w:tcW w:w="27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spacing w:line="260" w:lineRule="exact"/>
              <w:jc w:val="left"/>
              <w:rPr>
                <w:rFonts w:hint="eastAsia"/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3、有责的负面曝光或影响正常运营事件(5分)</w:t>
            </w:r>
          </w:p>
        </w:tc>
        <w:tc>
          <w:tcPr>
            <w:tcW w:w="5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spacing w:line="260" w:lineRule="exact"/>
              <w:rPr>
                <w:rFonts w:hint="eastAsia"/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发生一般有责的负面曝光或影响正常运营的有责事件，每起扣0.5分，本子项分值扣完为止；发生被省级及以上媒体曝光并造成重大影响的，该子项不得分</w:t>
            </w:r>
          </w:p>
        </w:tc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/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1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/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市交通运输局</w:t>
            </w:r>
            <w:r>
              <w:rPr>
                <w:rFonts w:hint="eastAsia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/>
                <w:color w:val="000000"/>
                <w:kern w:val="0"/>
                <w:szCs w:val="21"/>
              </w:rPr>
              <w:t>市商务局</w:t>
            </w:r>
            <w:r>
              <w:rPr>
                <w:rFonts w:hint="eastAsia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/>
                <w:color w:val="000000"/>
                <w:kern w:val="0"/>
                <w:szCs w:val="21"/>
              </w:rPr>
              <w:t>市财政局</w:t>
            </w:r>
          </w:p>
        </w:tc>
        <w:tc>
          <w:tcPr>
            <w:tcW w:w="1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/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平均得分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kern w:val="0"/>
                <w:szCs w:val="21"/>
              </w:rPr>
              <w:t>四</w:t>
            </w: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kern w:val="0"/>
                <w:szCs w:val="21"/>
              </w:rPr>
              <w:t>加分事项</w:t>
            </w:r>
          </w:p>
          <w:p>
            <w:pPr>
              <w:widowControl/>
              <w:spacing w:line="260" w:lineRule="exact"/>
              <w:jc w:val="center"/>
              <w:rPr>
                <w:rFonts w:hint="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kern w:val="0"/>
                <w:szCs w:val="21"/>
              </w:rPr>
              <w:t>（最高3分</w:t>
            </w:r>
            <w:r>
              <w:rPr>
                <w:rFonts w:hint="eastAsia"/>
                <w:b/>
                <w:bCs/>
                <w:color w:val="000000"/>
                <w:kern w:val="0"/>
                <w:sz w:val="18"/>
                <w:szCs w:val="18"/>
              </w:rPr>
              <w:t>）</w:t>
            </w:r>
          </w:p>
        </w:tc>
        <w:tc>
          <w:tcPr>
            <w:tcW w:w="27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spacing w:line="260" w:lineRule="exact"/>
              <w:jc w:val="left"/>
              <w:rPr>
                <w:rFonts w:hint="eastAsia"/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完成公益应急保障、政府指令执行情况、上级交办的重大事项或重大保障任务等</w:t>
            </w:r>
          </w:p>
        </w:tc>
        <w:tc>
          <w:tcPr>
            <w:tcW w:w="5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spacing w:line="260" w:lineRule="exact"/>
              <w:rPr>
                <w:rFonts w:hint="eastAsia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/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0</w:t>
            </w:r>
          </w:p>
        </w:tc>
        <w:tc>
          <w:tcPr>
            <w:tcW w:w="1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/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市交通运输局</w:t>
            </w:r>
            <w:r>
              <w:rPr>
                <w:rFonts w:hint="eastAsia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/>
                <w:color w:val="000000"/>
                <w:kern w:val="0"/>
                <w:szCs w:val="21"/>
              </w:rPr>
              <w:t>市商务局</w:t>
            </w:r>
            <w:r>
              <w:rPr>
                <w:rFonts w:hint="eastAsia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/>
                <w:color w:val="000000"/>
                <w:kern w:val="0"/>
                <w:szCs w:val="21"/>
              </w:rPr>
              <w:t>市财政局</w:t>
            </w:r>
          </w:p>
        </w:tc>
        <w:tc>
          <w:tcPr>
            <w:tcW w:w="1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/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平均得分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6" w:hRule="atLeast"/>
          <w:jc w:val="center"/>
        </w:trPr>
        <w:tc>
          <w:tcPr>
            <w:tcW w:w="1009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spacing w:before="156" w:line="260" w:lineRule="exact"/>
              <w:jc w:val="center"/>
              <w:rPr>
                <w:rFonts w:hint="eastAsia"/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 w:val="28"/>
                <w:szCs w:val="28"/>
              </w:rPr>
              <w:t>合  计</w:t>
            </w:r>
          </w:p>
        </w:tc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spacing w:line="260" w:lineRule="exact"/>
              <w:jc w:val="center"/>
              <w:rPr>
                <w:rFonts w:eastAsia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9</w:t>
            </w:r>
            <w:r>
              <w:rPr>
                <w:rFonts w:hint="eastAsia"/>
                <w:color w:val="000000"/>
                <w:kern w:val="0"/>
                <w:szCs w:val="21"/>
                <w:lang w:val="en-US" w:eastAsia="zh-CN"/>
              </w:rPr>
              <w:t>2</w:t>
            </w:r>
            <w:r>
              <w:rPr>
                <w:rFonts w:hint="eastAsia"/>
                <w:color w:val="000000"/>
                <w:kern w:val="0"/>
                <w:szCs w:val="21"/>
              </w:rPr>
              <w:t>.</w:t>
            </w:r>
            <w:r>
              <w:rPr>
                <w:rFonts w:hint="eastAsia"/>
                <w:color w:val="000000"/>
                <w:kern w:val="0"/>
                <w:szCs w:val="21"/>
                <w:lang w:val="en-US" w:eastAsia="zh-CN"/>
              </w:rPr>
              <w:t>17</w:t>
            </w:r>
          </w:p>
        </w:tc>
        <w:tc>
          <w:tcPr>
            <w:tcW w:w="1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/>
                <w:color w:val="000000"/>
                <w:kern w:val="0"/>
                <w:szCs w:val="21"/>
              </w:rPr>
            </w:pPr>
          </w:p>
        </w:tc>
        <w:tc>
          <w:tcPr>
            <w:tcW w:w="1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spacing w:line="260" w:lineRule="exact"/>
              <w:rPr>
                <w:rFonts w:hint="eastAsia"/>
                <w:color w:val="000000"/>
                <w:kern w:val="0"/>
                <w:szCs w:val="21"/>
              </w:rPr>
            </w:pPr>
          </w:p>
        </w:tc>
      </w:tr>
    </w:tbl>
    <w:p>
      <w:pPr>
        <w:sectPr>
          <w:footerReference r:id="rId8" w:type="default"/>
          <w:footerReference r:id="rId9" w:type="even"/>
          <w:pgSz w:w="16838" w:h="11906" w:orient="landscape"/>
          <w:pgMar w:top="1588" w:right="1985" w:bottom="1474" w:left="1985" w:header="851" w:footer="1418" w:gutter="0"/>
          <w:pgNumType w:fmt="numberInDash"/>
          <w:cols w:space="720" w:num="1"/>
          <w:docGrid w:type="lines" w:linePitch="312" w:charSpace="0"/>
        </w:sectPr>
      </w:pPr>
      <w:bookmarkStart w:id="0" w:name="_GoBack"/>
      <w:bookmarkEnd w:id="0"/>
    </w:p>
    <w:p>
      <w:pPr>
        <w:widowControl/>
        <w:spacing w:after="62" w:line="560" w:lineRule="exact"/>
        <w:jc w:val="both"/>
        <w:rPr>
          <w:rFonts w:hint="eastAsia" w:eastAsia="方正大标宋简体"/>
          <w:color w:val="000000"/>
          <w:sz w:val="44"/>
          <w:szCs w:val="44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sectPr>
      <w:headerReference r:id="rId10" w:type="default"/>
      <w:footerReference r:id="rId12" w:type="default"/>
      <w:headerReference r:id="rId11" w:type="even"/>
      <w:footerReference r:id="rId13" w:type="even"/>
      <w:pgSz w:w="16840" w:h="11907" w:orient="landscape"/>
      <w:pgMar w:top="1588" w:right="2098" w:bottom="1474" w:left="1985" w:header="851" w:footer="1418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Tahoma">
    <w:panose1 w:val="020B0604030504040204"/>
    <w:charset w:val="00"/>
    <w:family w:val="swiss"/>
    <w:pitch w:val="default"/>
    <w:sig w:usb0="61007A87" w:usb1="80000000" w:usb2="00000008" w:usb3="00000000" w:csb0="200101FF" w:csb1="2028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framePr w:wrap="around" w:vAnchor="text" w:hAnchor="margin" w:xAlign="outside" w:y="1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rPr>
        <w:sz w:val="28"/>
        <w:szCs w:val="28"/>
      </w:rPr>
    </w:pPr>
    <w:r>
      <w:rPr>
        <w:rStyle w:val="11"/>
        <w:sz w:val="28"/>
        <w:szCs w:val="28"/>
      </w:rPr>
      <w:fldChar w:fldCharType="begin"/>
    </w:r>
    <w:r>
      <w:rPr>
        <w:rStyle w:val="11"/>
        <w:sz w:val="28"/>
        <w:szCs w:val="28"/>
      </w:rPr>
      <w:instrText xml:space="preserve">Page</w:instrText>
    </w:r>
    <w:r>
      <w:rPr>
        <w:rStyle w:val="11"/>
        <w:sz w:val="28"/>
        <w:szCs w:val="28"/>
      </w:rPr>
      <w:fldChar w:fldCharType="separate"/>
    </w:r>
    <w:r>
      <w:rPr>
        <w:rStyle w:val="11"/>
        <w:sz w:val="28"/>
        <w:szCs w:val="28"/>
      </w:rPr>
      <w:t>— 1 —</w:t>
    </w:r>
    <w:r>
      <w:rPr>
        <w:rStyle w:val="11"/>
        <w:sz w:val="28"/>
        <w:szCs w:val="28"/>
      </w:rPr>
      <w:fldChar w:fldCharType="end"/>
    </w:r>
  </w:p>
  <w:p>
    <w:pPr>
      <w:pStyle w:val="7"/>
      <w:ind w:right="360" w:firstLine="360"/>
      <w:rPr>
        <w:sz w:val="28"/>
        <w:szCs w:val="2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framePr w:wrap="around" w:vAnchor="text" w:hAnchor="margin" w:xAlign="outside" w:y="1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</w:pPr>
    <w:r>
      <w:rPr>
        <w:rStyle w:val="11"/>
      </w:rPr>
      <w:fldChar w:fldCharType="begin"/>
    </w:r>
    <w:r>
      <w:rPr>
        <w:rStyle w:val="11"/>
      </w:rPr>
      <w:instrText xml:space="preserve">Page</w:instrText>
    </w:r>
    <w:r>
      <w:rPr>
        <w:rStyle w:val="11"/>
      </w:rPr>
      <w:fldChar w:fldCharType="separate"/>
    </w:r>
    <w:r>
      <w:rPr>
        <w:rStyle w:val="11"/>
        <w:rFonts w:hint="eastAsia"/>
      </w:rPr>
      <w:t>— 1 —</w:t>
    </w:r>
    <w:r>
      <w:rPr>
        <w:rStyle w:val="11"/>
      </w:rPr>
      <w:fldChar w:fldCharType="end"/>
    </w:r>
  </w:p>
  <w:p>
    <w:pPr>
      <w:pStyle w:val="7"/>
      <w:framePr w:wrap="around" w:vAnchor="text" w:hAnchor="margin" w:xAlign="outside" w:y="1"/>
      <w:ind w:right="360" w:firstLine="360"/>
      <w:rPr>
        <w:rStyle w:val="11"/>
        <w:sz w:val="28"/>
      </w:rPr>
    </w:pPr>
    <w:r>
      <w:rPr>
        <w:rStyle w:val="11"/>
        <w:rFonts w:hint="eastAsia"/>
        <w:sz w:val="28"/>
      </w:rPr>
      <w:t xml:space="preserve">  —</w:t>
    </w:r>
    <w:r>
      <w:rPr>
        <w:rStyle w:val="11"/>
        <w:sz w:val="28"/>
      </w:rPr>
      <w:fldChar w:fldCharType="begin"/>
    </w:r>
    <w:r>
      <w:rPr>
        <w:rStyle w:val="11"/>
        <w:sz w:val="28"/>
      </w:rPr>
      <w:instrText xml:space="preserve">PAGE  </w:instrText>
    </w:r>
    <w:r>
      <w:rPr>
        <w:rStyle w:val="11"/>
        <w:sz w:val="28"/>
      </w:rPr>
      <w:fldChar w:fldCharType="separate"/>
    </w:r>
    <w:r>
      <w:rPr>
        <w:rStyle w:val="11"/>
        <w:sz w:val="28"/>
      </w:rPr>
      <w:t>2</w:t>
    </w:r>
    <w:r>
      <w:rPr>
        <w:rStyle w:val="11"/>
        <w:sz w:val="28"/>
      </w:rPr>
      <w:fldChar w:fldCharType="end"/>
    </w:r>
    <w:r>
      <w:rPr>
        <w:rStyle w:val="11"/>
        <w:rFonts w:hint="eastAsia"/>
        <w:sz w:val="28"/>
      </w:rPr>
      <w:t>—</w:t>
    </w:r>
  </w:p>
  <w:p>
    <w:pPr>
      <w:pStyle w:val="7"/>
      <w:ind w:right="360"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framePr w:wrap="around" w:vAnchor="text" w:hAnchor="margin" w:xAlign="outside" w:y="1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</w:pPr>
    <w:r>
      <w:rPr>
        <w:rStyle w:val="11"/>
      </w:rPr>
      <w:fldChar w:fldCharType="begin"/>
    </w:r>
    <w:r>
      <w:rPr>
        <w:rStyle w:val="11"/>
      </w:rPr>
      <w:instrText xml:space="preserve">Page</w:instrText>
    </w:r>
    <w:r>
      <w:rPr>
        <w:rStyle w:val="11"/>
      </w:rPr>
      <w:fldChar w:fldCharType="separate"/>
    </w:r>
    <w:r>
      <w:rPr>
        <w:rStyle w:val="11"/>
        <w:rFonts w:hint="eastAsia"/>
      </w:rPr>
      <w:t>— 1 —</w:t>
    </w:r>
    <w:r>
      <w:rPr>
        <w:rStyle w:val="11"/>
      </w:rPr>
      <w:fldChar w:fldCharType="end"/>
    </w:r>
  </w:p>
  <w:p>
    <w:pPr>
      <w:pStyle w:val="7"/>
      <w:framePr w:wrap="around" w:vAnchor="text" w:hAnchor="margin" w:xAlign="outside" w:y="1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ind w:right="360" w:firstLine="360"/>
    </w:pPr>
    <w:r>
      <w:rPr>
        <w:rStyle w:val="11"/>
      </w:rPr>
      <w:fldChar w:fldCharType="begin"/>
    </w:r>
    <w:r>
      <w:rPr>
        <w:rStyle w:val="11"/>
      </w:rPr>
      <w:instrText xml:space="preserve">Page</w:instrText>
    </w:r>
    <w:r>
      <w:rPr>
        <w:rStyle w:val="11"/>
      </w:rPr>
      <w:fldChar w:fldCharType="separate"/>
    </w:r>
    <w:r>
      <w:rPr>
        <w:rStyle w:val="11"/>
        <w:rFonts w:hint="eastAsia"/>
      </w:rPr>
      <w:t>— 1 —</w:t>
    </w:r>
    <w:r>
      <w:rPr>
        <w:rStyle w:val="11"/>
      </w:rPr>
      <w:fldChar w:fldCharType="end"/>
    </w:r>
  </w:p>
  <w:p>
    <w:pPr>
      <w:pStyle w:val="7"/>
      <w:ind w:right="360" w:firstLine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framePr w:wrap="around" w:vAnchor="text" w:hAnchor="margin" w:xAlign="outside" w:y="1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rPr>
        <w:sz w:val="28"/>
        <w:szCs w:val="28"/>
      </w:rPr>
    </w:pPr>
    <w:r>
      <w:rPr>
        <w:rStyle w:val="11"/>
        <w:sz w:val="28"/>
        <w:szCs w:val="28"/>
      </w:rPr>
      <w:fldChar w:fldCharType="begin"/>
    </w:r>
    <w:r>
      <w:rPr>
        <w:rStyle w:val="11"/>
        <w:sz w:val="28"/>
        <w:szCs w:val="28"/>
      </w:rPr>
      <w:instrText xml:space="preserve">Page</w:instrText>
    </w:r>
    <w:r>
      <w:rPr>
        <w:rStyle w:val="11"/>
        <w:sz w:val="28"/>
        <w:szCs w:val="28"/>
      </w:rPr>
      <w:fldChar w:fldCharType="separate"/>
    </w:r>
    <w:r>
      <w:rPr>
        <w:rStyle w:val="11"/>
        <w:sz w:val="28"/>
        <w:szCs w:val="28"/>
      </w:rPr>
      <w:t>— 4 —</w:t>
    </w:r>
    <w:r>
      <w:rPr>
        <w:rStyle w:val="11"/>
        <w:sz w:val="28"/>
        <w:szCs w:val="28"/>
      </w:rPr>
      <w:fldChar w:fldCharType="end"/>
    </w:r>
  </w:p>
  <w:p>
    <w:pPr>
      <w:pStyle w:val="7"/>
      <w:ind w:right="360" w:firstLine="360"/>
      <w:rPr>
        <w:sz w:val="28"/>
        <w:szCs w:val="28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framePr w:wrap="around" w:vAnchor="text" w:hAnchor="margin" w:xAlign="outside" w:y="1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</w:pPr>
    <w:r>
      <w:rPr>
        <w:sz w:val="18"/>
      </w:rPr>
      <mc:AlternateContent>
        <mc:Choice Requires="wps">
          <w:drawing>
            <wp:anchor distT="0" distB="0" distL="113665" distR="113665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622300" cy="383540"/>
              <wp:effectExtent l="0" t="0" r="0" b="0"/>
              <wp:wrapNone/>
              <wp:docPr id="3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22300" cy="383736"/>
                      </a:xfrm>
                      <a:prstGeom prst="rect">
                        <a:avLst/>
                      </a:prstGeom>
                      <a:noFill/>
                      <a:ln w="9525" cap="flat" cmpd="sng">
                        <a:noFill/>
                        <a:prstDash val="solid"/>
                        <a:miter/>
                      </a:ln>
                    </wps:spPr>
                    <wps:txbx>
                      <w:txbxContent>
                        <w:p>
                          <w:pPr>
                            <w:pStyle w:val="7"/>
                            <w:rPr>
                              <w:rStyle w:val="11"/>
                              <w:sz w:val="28"/>
                            </w:rPr>
                          </w:pPr>
                          <w:r>
                            <w:rPr>
                              <w:rStyle w:val="11"/>
                              <w:rFonts w:hint="eastAsia"/>
                              <w:sz w:val="28"/>
                            </w:rPr>
                            <w:t xml:space="preserve">  —</w:t>
                          </w:r>
                          <w:r>
                            <w:rPr>
                              <w:rStyle w:val="11"/>
                              <w:sz w:val="28"/>
                            </w:rPr>
                            <w:fldChar w:fldCharType="begin"/>
                          </w:r>
                          <w:r>
                            <w:rPr>
                              <w:rStyle w:val="11"/>
                              <w:sz w:val="28"/>
                            </w:rPr>
                            <w:instrText xml:space="preserve">PAGE  </w:instrText>
                          </w:r>
                          <w:r>
                            <w:rPr>
                              <w:rStyle w:val="11"/>
                              <w:sz w:val="28"/>
                            </w:rPr>
                            <w:fldChar w:fldCharType="separate"/>
                          </w:r>
                          <w:r>
                            <w:rPr>
                              <w:rStyle w:val="11"/>
                              <w:sz w:val="28"/>
                            </w:rPr>
                            <w:t>2</w:t>
                          </w:r>
                          <w:r>
                            <w:rPr>
                              <w:rStyle w:val="11"/>
                              <w:sz w:val="28"/>
                            </w:rPr>
                            <w:fldChar w:fldCharType="end"/>
                          </w:r>
                          <w:r>
                            <w:rPr>
                              <w:rStyle w:val="11"/>
                              <w:rFonts w:hint="eastAsia"/>
                              <w:sz w:val="28"/>
                            </w:rPr>
                            <w:t>—</w:t>
                          </w:r>
                        </w:p>
                        <w:p/>
                      </w:txbxContent>
                    </wps:txbx>
                    <wps:bodyPr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文本框 4" o:spid="_x0000_s1026" o:spt="1" style="position:absolute;left:0pt;margin-top:0pt;height:30.2pt;width:49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DF4y2z0QAAAAMBAAAPAAAAAAAAAAEAIAAAACIAAABkcnMvZG93bnJl&#10;di54bWxQSwECFAAUAAAACACHTuJAG2MMsgQCAAD0AwAADgAAAAAAAAABACAAAAAgAQAAZHJzL2Uy&#10;b0RvYy54bWxQSwUGAAAAAAYABgBZAQAAlgUAAAAA&#10;">
              <v:fill on="f" focussize="0,0"/>
              <v:stroke on="f" joinstyle="miter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7"/>
                      <w:rPr>
                        <w:rStyle w:val="11"/>
                        <w:sz w:val="28"/>
                      </w:rPr>
                    </w:pPr>
                    <w:r>
                      <w:rPr>
                        <w:rStyle w:val="11"/>
                        <w:rFonts w:hint="eastAsia"/>
                        <w:sz w:val="28"/>
                      </w:rPr>
                      <w:t xml:space="preserve">  —</w:t>
                    </w:r>
                    <w:r>
                      <w:rPr>
                        <w:rStyle w:val="11"/>
                        <w:sz w:val="28"/>
                      </w:rPr>
                      <w:fldChar w:fldCharType="begin"/>
                    </w:r>
                    <w:r>
                      <w:rPr>
                        <w:rStyle w:val="11"/>
                        <w:sz w:val="28"/>
                      </w:rPr>
                      <w:instrText xml:space="preserve">PAGE  </w:instrText>
                    </w:r>
                    <w:r>
                      <w:rPr>
                        <w:rStyle w:val="11"/>
                        <w:sz w:val="28"/>
                      </w:rPr>
                      <w:fldChar w:fldCharType="separate"/>
                    </w:r>
                    <w:r>
                      <w:rPr>
                        <w:rStyle w:val="11"/>
                        <w:sz w:val="28"/>
                      </w:rPr>
                      <w:t>2</w:t>
                    </w:r>
                    <w:r>
                      <w:rPr>
                        <w:rStyle w:val="11"/>
                        <w:sz w:val="28"/>
                      </w:rPr>
                      <w:fldChar w:fldCharType="end"/>
                    </w:r>
                    <w:r>
                      <w:rPr>
                        <w:rStyle w:val="11"/>
                        <w:rFonts w:hint="eastAsia"/>
                        <w:sz w:val="28"/>
                      </w:rPr>
                      <w:t>—</w:t>
                    </w:r>
                  </w:p>
                  <w:p/>
                </w:txbxContent>
              </v:textbox>
            </v:rect>
          </w:pict>
        </mc:Fallback>
      </mc:AlternateContent>
    </w:r>
    <w:r>
      <w:rPr>
        <w:rStyle w:val="11"/>
      </w:rPr>
      <w:fldChar w:fldCharType="begin"/>
    </w:r>
    <w:r>
      <w:rPr>
        <w:rStyle w:val="11"/>
      </w:rPr>
      <w:instrText xml:space="preserve">Page</w:instrText>
    </w:r>
    <w:r>
      <w:rPr>
        <w:rStyle w:val="11"/>
      </w:rPr>
      <w:fldChar w:fldCharType="separate"/>
    </w:r>
    <w:r>
      <w:rPr>
        <w:rStyle w:val="11"/>
        <w:rFonts w:hint="eastAsia"/>
      </w:rPr>
      <w:t>— 1 —</w:t>
    </w:r>
    <w:r>
      <w:rPr>
        <w:rStyle w:val="11"/>
      </w:rPr>
      <w:fldChar w:fldCharType="end"/>
    </w:r>
  </w:p>
  <w:p>
    <w:pPr>
      <w:pStyle w:val="7"/>
      <w:ind w:right="360" w:firstLine="36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framePr w:wrap="around" w:vAnchor="text" w:hAnchor="margin" w:xAlign="outside" w:y="1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rPr>
        <w:sz w:val="28"/>
        <w:szCs w:val="28"/>
      </w:rPr>
    </w:pPr>
    <w:r>
      <w:rPr>
        <w:rStyle w:val="11"/>
        <w:sz w:val="28"/>
        <w:szCs w:val="28"/>
      </w:rPr>
      <w:fldChar w:fldCharType="begin"/>
    </w:r>
    <w:r>
      <w:rPr>
        <w:rStyle w:val="11"/>
        <w:sz w:val="28"/>
        <w:szCs w:val="28"/>
      </w:rPr>
      <w:instrText xml:space="preserve">Page</w:instrText>
    </w:r>
    <w:r>
      <w:rPr>
        <w:rStyle w:val="11"/>
        <w:sz w:val="28"/>
        <w:szCs w:val="28"/>
      </w:rPr>
      <w:fldChar w:fldCharType="separate"/>
    </w:r>
    <w:r>
      <w:rPr>
        <w:rStyle w:val="11"/>
        <w:sz w:val="28"/>
        <w:szCs w:val="28"/>
      </w:rPr>
      <w:t>— 6 —</w:t>
    </w:r>
    <w:r>
      <w:rPr>
        <w:rStyle w:val="11"/>
        <w:sz w:val="28"/>
        <w:szCs w:val="28"/>
      </w:rPr>
      <w:fldChar w:fldCharType="end"/>
    </w:r>
  </w:p>
  <w:p>
    <w:pPr>
      <w:pStyle w:val="7"/>
      <w:ind w:right="360" w:firstLine="360"/>
      <w:rPr>
        <w:sz w:val="28"/>
        <w:szCs w:val="28"/>
      </w:rPr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framePr w:wrap="around" w:vAnchor="text" w:hAnchor="margin" w:xAlign="outside" w:y="1"/>
      <w:rPr>
        <w:rStyle w:val="11"/>
        <w:rFonts w:hint="eastAsia"/>
        <w:sz w:val="28"/>
      </w:rPr>
    </w:pPr>
    <w:r>
      <w:rPr>
        <w:rStyle w:val="11"/>
        <w:rFonts w:hint="eastAsia"/>
        <w:sz w:val="28"/>
      </w:rPr>
      <w:t xml:space="preserve">  —</w:t>
    </w:r>
    <w:r>
      <w:rPr>
        <w:rStyle w:val="11"/>
        <w:sz w:val="28"/>
      </w:rPr>
      <w:t xml:space="preserve"> </w:t>
    </w:r>
    <w:r>
      <w:rPr>
        <w:rStyle w:val="11"/>
        <w:sz w:val="28"/>
      </w:rPr>
      <w:fldChar w:fldCharType="begin"/>
    </w:r>
    <w:r>
      <w:rPr>
        <w:rStyle w:val="11"/>
        <w:sz w:val="28"/>
      </w:rPr>
      <w:instrText xml:space="preserve">Page</w:instrText>
    </w:r>
    <w:r>
      <w:rPr>
        <w:rStyle w:val="11"/>
        <w:sz w:val="28"/>
      </w:rPr>
      <w:fldChar w:fldCharType="separate"/>
    </w:r>
    <w:r>
      <w:rPr>
        <w:rStyle w:val="11"/>
        <w:rFonts w:hint="eastAsia"/>
        <w:sz w:val="28"/>
      </w:rPr>
      <w:t>— 1 —</w:t>
    </w:r>
    <w:r>
      <w:rPr>
        <w:rStyle w:val="11"/>
        <w:sz w:val="28"/>
      </w:rPr>
      <w:fldChar w:fldCharType="end"/>
    </w:r>
    <w:r>
      <w:rPr>
        <w:rStyle w:val="11"/>
        <w:sz w:val="28"/>
      </w:rPr>
      <w:t xml:space="preserve"> </w:t>
    </w:r>
    <w:r>
      <w:rPr>
        <w:rStyle w:val="11"/>
        <w:rFonts w:hint="eastAsia"/>
        <w:sz w:val="28"/>
      </w:rPr>
      <w:t>—</w:t>
    </w:r>
  </w:p>
  <w:p>
    <w:pPr>
      <w:pStyle w:val="7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pBdr>
        <w:bottom w:val="none" w:color="auto" w:sz="0" w:space="0"/>
      </w:pBd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useFELayout/>
    <w:doNotUseIndentAsNumberingTabStop/>
    <w:useAltKinsokuLineBreakRules/>
    <w:splitPgBreakAndParaMark/>
    <w:compatSetting w:name="compatibilityMode" w:uri="http://schemas.microsoft.com/office/word" w:val="11"/>
  </w:compat>
  <w:rsids>
    <w:rsidRoot w:val="00000000"/>
    <w:rsid w:val="4EC520A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paragraph" w:styleId="2">
    <w:name w:val="heading 1"/>
    <w:basedOn w:val="1"/>
    <w:next w:val="1"/>
    <w:uiPriority w:val="0"/>
    <w:pPr>
      <w:keepNext/>
      <w:keepLines/>
      <w:widowControl w:val="0"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uiPriority w:val="0"/>
    <w:pPr>
      <w:keepNext/>
      <w:keepLines/>
      <w:widowControl w:val="0"/>
      <w:spacing w:before="260" w:after="260" w:line="415" w:lineRule="auto"/>
      <w:outlineLvl w:val="1"/>
    </w:pPr>
    <w:rPr>
      <w:rFonts w:ascii="Times New Roman" w:hAnsi="Times New Roman" w:eastAsia="黑体"/>
      <w:b/>
      <w:bCs/>
      <w:sz w:val="32"/>
      <w:szCs w:val="32"/>
    </w:rPr>
  </w:style>
  <w:style w:type="paragraph" w:styleId="4">
    <w:name w:val="heading 3"/>
    <w:basedOn w:val="1"/>
    <w:next w:val="1"/>
    <w:uiPriority w:val="0"/>
    <w:pPr>
      <w:keepNext/>
      <w:keepLines/>
      <w:widowControl w:val="0"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10">
    <w:name w:val="Default Paragraph Font"/>
    <w:uiPriority w:val="0"/>
  </w:style>
  <w:style w:type="table" w:default="1" w:styleId="9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Document Map"/>
    <w:basedOn w:val="1"/>
    <w:qFormat/>
    <w:uiPriority w:val="0"/>
    <w:pPr>
      <w:shd w:val="clear" w:color="auto" w:fill="000080"/>
    </w:pPr>
  </w:style>
  <w:style w:type="paragraph" w:styleId="6">
    <w:name w:val="Date"/>
    <w:basedOn w:val="1"/>
    <w:next w:val="1"/>
    <w:uiPriority w:val="0"/>
    <w:rPr>
      <w:rFonts w:ascii="仿宋_GB2312" w:eastAsia="仿宋_GB2312"/>
      <w:sz w:val="32"/>
    </w:rPr>
  </w:style>
  <w:style w:type="paragraph" w:styleId="7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styleId="11">
    <w:name w:val="page number"/>
    <w:basedOn w:val="10"/>
    <w:uiPriority w:val="0"/>
  </w:style>
  <w:style w:type="paragraph" w:customStyle="1" w:styleId="12">
    <w:name w:val="Char Char Char Char"/>
    <w:basedOn w:val="5"/>
    <w:qFormat/>
    <w:uiPriority w:val="0"/>
    <w:rPr>
      <w:rFonts w:ascii="Tahoma" w:hAnsi="Tahoma" w:cs="Tahoma"/>
      <w:sz w:val="24"/>
      <w:szCs w:val="24"/>
      <w:lang w:bidi="ar-SA"/>
    </w:rPr>
  </w:style>
  <w:style w:type="paragraph" w:customStyle="1" w:styleId="13">
    <w:name w:val="标题3"/>
    <w:basedOn w:val="1"/>
    <w:link w:val="14"/>
    <w:qFormat/>
    <w:uiPriority w:val="0"/>
    <w:pPr>
      <w:widowControl w:val="0"/>
      <w:autoSpaceDE w:val="0"/>
      <w:autoSpaceDN w:val="0"/>
      <w:snapToGrid w:val="0"/>
      <w:spacing w:line="590" w:lineRule="atLeast"/>
      <w:ind w:firstLine="624"/>
      <w:jc w:val="both"/>
    </w:pPr>
    <w:rPr>
      <w:rFonts w:ascii="方正黑体_GBK" w:eastAsia="方正黑体_GBK" w:cs="Times New Roman"/>
      <w:kern w:val="0"/>
      <w:sz w:val="32"/>
      <w:szCs w:val="22"/>
      <w:lang w:val="en-US" w:eastAsia="zh-CN" w:bidi="ar-SA"/>
    </w:rPr>
  </w:style>
  <w:style w:type="character" w:customStyle="1" w:styleId="14">
    <w:name w:val="标题3 Char"/>
    <w:basedOn w:val="10"/>
    <w:link w:val="13"/>
    <w:qFormat/>
    <w:uiPriority w:val="0"/>
    <w:rPr>
      <w:rFonts w:ascii="方正黑体_GBK" w:eastAsia="方正黑体_GBK" w:cs="Times New Roman"/>
      <w:kern w:val="0"/>
      <w:sz w:val="32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5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2.xml"/><Relationship Id="rId15" Type="http://schemas.openxmlformats.org/officeDocument/2006/relationships/customXml" Target="../customXml/item1.xml"/><Relationship Id="rId14" Type="http://schemas.openxmlformats.org/officeDocument/2006/relationships/theme" Target="theme/theme1.xml"/><Relationship Id="rId13" Type="http://schemas.openxmlformats.org/officeDocument/2006/relationships/footer" Target="footer7.xml"/><Relationship Id="rId12" Type="http://schemas.openxmlformats.org/officeDocument/2006/relationships/footer" Target="footer6.xml"/><Relationship Id="rId11" Type="http://schemas.openxmlformats.org/officeDocument/2006/relationships/header" Target="header4.xml"/><Relationship Id="rId10" Type="http://schemas.openxmlformats.org/officeDocument/2006/relationships/header" Target="head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 主题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主题">
      <a:majorFont>
        <a:latin typeface=""/>
        <a:ea typeface=""/>
        <a:cs typeface=""/>
      </a:majorFont>
      <a:minorFont>
        <a:latin typeface=""/>
        <a:ea typeface=""/>
        <a:cs typeface=""/>
      </a:minorFont>
    </a:fontScheme>
    <a:fmtScheme name="Office 主题">
      <a:fillStyleLst>
        <a:solidFill>
          <a:schemeClr val="phClr"/>
        </a:solidFill>
        <a:gradFill/>
        <a:gradFill/>
      </a:fillStyleLst>
      <a:lnStyleLst>
        <a:ln w="6350" cap="flat" cmpd="sng" algn="ctr">
          <a:solidFill>
            <a:schemeClr val="phClr"/>
          </a:solidFill>
          <a:prstDash val="solid"/>
        </a:ln>
        <a:ln w="127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/>
        <a:gradFill/>
      </a:bgFillStyleLst>
    </a:fmtScheme>
  </a:themeElements>
  <a:objectDefaults>
    <a:spDef>
      <a:spPr>
        <a:solidFill>
          <a:srgbClr val="FFFFFF"/>
        </a:solidFill>
        <a:ln w="9525" cap="flat" cmpd="sng">
          <a:solidFill>
            <a:srgbClr val="000000"/>
          </a:solidFill>
          <a:prstDash val="solid"/>
          <a:miter/>
        </a:ln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9525" cap="flat" cmpd="sng">
          <a:solidFill>
            <a:srgbClr val="000000"/>
          </a:solidFill>
          <a:prstDash val="solid"/>
          <a:miter/>
        </a:ln>
      </a:spPr>
      <a:bodyPr/>
      <a:lstStyle/>
      <a:style>
        <a:lnRef idx="1">
          <a:schemeClr val="accent4">
            <a:shade val="50000"/>
          </a:schemeClr>
        </a:lnRef>
        <a:fillRef idx="0">
          <a:schemeClr val="accent4"/>
        </a:fillRef>
        <a:effectRef idx="0">
          <a:schemeClr val="accent4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/>
  </customShpExts>
</s:customData>
</file>

<file path=customXml/item2.xml><?xml version="1.0" encoding="utf-8"?>
<customData xmlns="http://www.yozosoft.com.cn/officeDocument/2016/customData">
  <customProps>
    <docPr/>
    <sectPr pgNumType="\* ArabicDash2"/>
    <sectPr pgNumType="\* ArabicDash2"/>
    <sectPr pgNumType="\* ArabicDash2"/>
  </customProps>
</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1F62BC6-10C7-4692-AEC9-B0598147CC6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Normal.eit</Template>
  <Company>NJJT</Company>
  <Pages>1</Pages>
  <Words>9</Words>
  <Characters>14</Characters>
  <Lines>1</Lines>
  <Paragraphs>1</Paragraphs>
  <TotalTime>28</TotalTime>
  <ScaleCrop>false</ScaleCrop>
  <LinksUpToDate>false</LinksUpToDate>
  <CharactersWithSpaces>14</CharactersWithSpaces>
  <Application>WPS Office_11.8.2.12055_F1E327BC-269C-435d-A152-05C5408002CA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2017-01-04T02:28:00Z</dcterms:created>
  <dc:creator>徐卫民</dc:creator>
  <cp:lastModifiedBy>Admin</cp:lastModifiedBy>
  <cp:lastPrinted>2025-06-09T02:26:00Z</cp:lastPrinted>
  <dcterms:modified xsi:type="dcterms:W3CDTF">2026-01-23T02:26:43Z</dcterms:modified>
  <dc:title>文件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2052-11.8.2.12055</vt:lpwstr>
  </property>
  <property fmtid="{D5CDD505-2E9C-101B-9397-08002B2CF9AE}" pid="3" name="ICV">
    <vt:lpwstr>DC2C08CF79474906AE9A15B2D66F2271</vt:lpwstr>
  </property>
</Properties>
</file>