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6957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精准发力 推动交通运输经济稳中有进</w:t>
      </w:r>
    </w:p>
    <w:p w14:paraId="0E9021AD">
      <w:pPr>
        <w:spacing w:line="560" w:lineRule="exact"/>
        <w:jc w:val="center"/>
        <w:rPr>
          <w:rFonts w:ascii="Times New Roman" w:hAnsi="Times New Roman" w:eastAsia="楷体_GB2312"/>
          <w:sz w:val="32"/>
          <w:szCs w:val="32"/>
        </w:rPr>
      </w:pPr>
      <w:bookmarkStart w:id="0" w:name="_GoBack"/>
      <w:r>
        <w:rPr>
          <w:rFonts w:ascii="Times New Roman" w:hAnsi="Times New Roman" w:eastAsia="楷体_GB2312"/>
          <w:sz w:val="32"/>
          <w:szCs w:val="32"/>
        </w:rPr>
        <w:t>2025年三季度南京交通经济运行综合分析</w:t>
      </w:r>
    </w:p>
    <w:bookmarkEnd w:id="0"/>
    <w:p w14:paraId="78D637E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03059CE"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一、交通运输行业主要经济指标完成情况</w:t>
      </w:r>
    </w:p>
    <w:p w14:paraId="52F26655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（一）全社会公路运输生产完成情况</w:t>
      </w:r>
    </w:p>
    <w:p w14:paraId="337524DB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截至三季度全市预计完成公路客货运周转量2655440.83万吨公里，同比上升10.37%。其中：完成公路客运量5999.07万人次、同比上升6.21%，客运周转量370929.33万人公里、同比上升2.55%；完成公路货运量19269.10万吨、同比上升7.53%，周转量2618347.90万吨公里、同比上升10.49%。</w:t>
      </w:r>
    </w:p>
    <w:p w14:paraId="0FFB355F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（二）全社会水路运输生产完成情况</w:t>
      </w:r>
    </w:p>
    <w:p w14:paraId="11DE7136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截至三季度全市完成水路客货运周转量34235727.18万吨公里，同比上升7.89%。其中：完成水路客运量61.66万人、同比上升11.86%，客运周转量476.36万人公里、同比增长29.90%；完成水路货运量16349.60万吨、同比增长11.91%，货运周转量34235489.0万吨公里、同比上升7.89%(其中，内河航区完成货运量2558.65万吨、同比下降2.66%，货物周转量1364431.34万吨公里、同比下降3.45%；海洋航区完成货运量13790.95万吨、同比上升15.11%，货物周转量32871057.66万吨公里、同比上升8.42%)。</w:t>
      </w:r>
    </w:p>
    <w:p w14:paraId="7E480DEB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（三）城市公共交通生产完成情况</w:t>
      </w:r>
    </w:p>
    <w:p w14:paraId="12C9F2CE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2025年1月至9月，全市公共汽电车共计7707辆，同比下降了4.06%，完成客运量35044.13万人次，同比下降了7.5%；巡游出租车9263辆，同比下降了7.64%，完成客运量5267.92万人次，同比下降了6.37%；地铁运营车2420辆，同比上升了8.13%，完成客运量82631.48万人次，同比上升了1.72%；有轨电车100辆，与去年同期相同，完成客运量266.73万人次，同比上升了8.11%；城市客运轮渡船舶12艘，去年同期相同，完成客运量267.26万人次，同比上升了32.66%，详见下表。</w:t>
      </w:r>
    </w:p>
    <w:p w14:paraId="333EEFFA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5E42C74C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ascii="Times New Roman" w:hAnsi="Times New Roman" w:eastAsia="方正小标宋_GBK"/>
          <w:sz w:val="32"/>
          <w:szCs w:val="32"/>
        </w:rPr>
        <w:t>城市公共交通运营情况</w:t>
      </w:r>
    </w:p>
    <w:tbl>
      <w:tblPr>
        <w:tblStyle w:val="2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126"/>
        <w:gridCol w:w="1126"/>
        <w:gridCol w:w="1033"/>
        <w:gridCol w:w="1406"/>
        <w:gridCol w:w="1406"/>
        <w:gridCol w:w="1080"/>
      </w:tblGrid>
      <w:tr w14:paraId="7899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75BE8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运营车辆（辆/艘/节）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40E69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客运量（万人次）</w:t>
            </w:r>
          </w:p>
        </w:tc>
      </w:tr>
      <w:tr w14:paraId="68D1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7EF46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B450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C91B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2024年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BE14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增幅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24A4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2025年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C717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2024年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79B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增幅</w:t>
            </w:r>
          </w:p>
        </w:tc>
      </w:tr>
      <w:tr w14:paraId="0A2F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84771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总计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7501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19502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A0F1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6F91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-4.46%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FA4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123477.52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B32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125194.66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97A5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-1.37%</w:t>
            </w:r>
          </w:p>
        </w:tc>
      </w:tr>
      <w:tr w14:paraId="7038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069C7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公共汽电车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3237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7707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1804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8033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829F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-4.06%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1B58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35044.13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6554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37886.34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C99D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-7.5%</w:t>
            </w:r>
          </w:p>
        </w:tc>
      </w:tr>
      <w:tr w14:paraId="0E15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41BB3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巡游出租车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CDB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9263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3C6D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10029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4AD7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-7.64%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3B12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5267.92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E337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5626.46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D17F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-6.37%</w:t>
            </w:r>
          </w:p>
        </w:tc>
      </w:tr>
      <w:tr w14:paraId="648E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2DF8D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地铁运营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DB1A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2420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E263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2238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8D21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8.13%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DBD5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82631.48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03C1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81233.69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90EF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1.72%</w:t>
            </w:r>
          </w:p>
        </w:tc>
      </w:tr>
      <w:tr w14:paraId="4F31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FCBBB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有轨电车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9154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6FCF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CF36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6346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266.73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BF89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246.71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1A73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8.11%</w:t>
            </w:r>
          </w:p>
        </w:tc>
      </w:tr>
      <w:tr w14:paraId="59D6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DED79"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轮渡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B8C3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55F5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5753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02DA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267.26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10DE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201.46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1896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32.66%</w:t>
            </w:r>
          </w:p>
        </w:tc>
      </w:tr>
    </w:tbl>
    <w:p w14:paraId="2B25BEE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E58CD69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（四）全社会港口生产完成情况</w:t>
      </w:r>
    </w:p>
    <w:p w14:paraId="0760B240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截至三季度，南京全社会港口完成货物吞吐量20146.42万吨，同比下降0.86%；完成集装箱吞吐量302.44万标箱，同比增长9.90%。</w:t>
      </w:r>
    </w:p>
    <w:p w14:paraId="477CCDF6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（五）参与市级核算规模以上交通运输企业营收情况</w:t>
      </w:r>
    </w:p>
    <w:p w14:paraId="5212CBE7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1-8月全市小交通行业实现营收433.8亿元，增速为2.4%。</w:t>
      </w:r>
    </w:p>
    <w:p w14:paraId="6EFE2A02"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二、全社会营业性运输工具数量</w:t>
      </w:r>
    </w:p>
    <w:p w14:paraId="5D96D427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（一）道路运输工具</w:t>
      </w:r>
    </w:p>
    <w:p w14:paraId="52D229F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（1）营业性客车</w:t>
      </w:r>
    </w:p>
    <w:p w14:paraId="61885A46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2025年9月21日，我市道路旅客运输经营车辆数6014辆，同比增速下降1.38%，载客位262510客位，同比增速下降1.83%，市场集中度58.39辆/户[车辆数/户数]。其中：班线客车经营车辆数606辆，载客位26598客位；旅游包车经营车辆数5408辆，载客位235912客位。</w:t>
      </w:r>
    </w:p>
    <w:p w14:paraId="533A2BA5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ascii="Times New Roman" w:hAnsi="Times New Roman" w:eastAsia="方正小标宋_GBK"/>
          <w:sz w:val="32"/>
          <w:szCs w:val="32"/>
        </w:rPr>
        <w:t>道路客运经营业户及运输工具情况</w:t>
      </w:r>
    </w:p>
    <w:tbl>
      <w:tblPr>
        <w:tblStyle w:val="2"/>
        <w:tblW w:w="8220" w:type="dxa"/>
        <w:tblInd w:w="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129"/>
        <w:gridCol w:w="1184"/>
        <w:gridCol w:w="1280"/>
        <w:gridCol w:w="1515"/>
        <w:gridCol w:w="1380"/>
      </w:tblGrid>
      <w:tr w14:paraId="7023E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8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E010DB6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指标名称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4666B4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计量单位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81BFB1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本期数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8C8EE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去年同期数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2FAC0D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同比（%）</w:t>
            </w:r>
          </w:p>
        </w:tc>
      </w:tr>
      <w:tr w14:paraId="16859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3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EC17FE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道路</w:t>
            </w:r>
          </w:p>
          <w:p w14:paraId="627B286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客运</w:t>
            </w:r>
          </w:p>
        </w:tc>
        <w:tc>
          <w:tcPr>
            <w:tcW w:w="21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8A8327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经营业户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C5173A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户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E982CF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103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7A962E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105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49C73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-1.9%</w:t>
            </w:r>
          </w:p>
        </w:tc>
      </w:tr>
      <w:tr w14:paraId="580AE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F85F8F5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60443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经营车辆数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70B59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54703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6014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EF096E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6098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E584F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-1.38%</w:t>
            </w:r>
          </w:p>
        </w:tc>
      </w:tr>
      <w:tr w14:paraId="6FB54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552659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B2D4B9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其中：班线客车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36A94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655FE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606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86BB66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644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D2300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-5.9%</w:t>
            </w:r>
          </w:p>
        </w:tc>
      </w:tr>
      <w:tr w14:paraId="4BB9B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461F03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6CB940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旅游包车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CDFDA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9607E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5408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A154DD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5454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35A21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-0.84%</w:t>
            </w:r>
          </w:p>
        </w:tc>
      </w:tr>
      <w:tr w14:paraId="6CBA9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4E69293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0A623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经营载客位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29B8C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客位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E3A37F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262510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E12E08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267401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14E003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-1.83%</w:t>
            </w:r>
          </w:p>
        </w:tc>
      </w:tr>
      <w:tr w14:paraId="7D20D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B5899BB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F2F2D8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其中：班线客车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88D9C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客位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793A2A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26598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412B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28170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59A1B4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-5.58%</w:t>
            </w:r>
          </w:p>
        </w:tc>
      </w:tr>
      <w:tr w14:paraId="51CBC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190E05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9BB06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旅游包车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DE3BD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客位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81817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235912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560386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239231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0370B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-1.39%</w:t>
            </w:r>
          </w:p>
        </w:tc>
      </w:tr>
    </w:tbl>
    <w:p w14:paraId="280314C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b/>
          <w:sz w:val="32"/>
          <w:szCs w:val="32"/>
        </w:rPr>
      </w:pPr>
    </w:p>
    <w:p w14:paraId="6C8CC4F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（2）营业性货车</w:t>
      </w:r>
    </w:p>
    <w:p w14:paraId="338781BA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2025年9月21日，全市道路货运业户数达到20882户，其中：危险货物运输企业96户；全市普通货物运输企业数为18134家，占比总业户数86.84%。拥有100辆及以上车辆的货运企业55家，拥有50-99辆车的货运企业179家，拥有50辆以下的货运企业8023家。</w:t>
      </w:r>
    </w:p>
    <w:p w14:paraId="33F08190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2025年9月21日，全市道路货运车辆数达到93586辆，总吨位1308894吨，车均吨位数18.86吨/车[总吨/（单车+挂车数）]。其中：单车45120辆，513327吨位；牵引车23984辆；挂车24292辆，794330吨位；其他载货机动车190辆，1237吨位。</w:t>
      </w:r>
    </w:p>
    <w:p w14:paraId="6B03E65C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ascii="Times New Roman" w:hAnsi="Times New Roman" w:eastAsia="方正小标宋_GBK"/>
          <w:sz w:val="32"/>
          <w:szCs w:val="32"/>
        </w:rPr>
        <w:t>道路货运经营业户及运输工具情况</w:t>
      </w:r>
    </w:p>
    <w:tbl>
      <w:tblPr>
        <w:tblStyle w:val="2"/>
        <w:tblW w:w="8220" w:type="dxa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129"/>
        <w:gridCol w:w="1184"/>
        <w:gridCol w:w="1280"/>
        <w:gridCol w:w="1515"/>
        <w:gridCol w:w="1380"/>
      </w:tblGrid>
      <w:tr w14:paraId="04FD5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20C2A16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指标名称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48EE45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计量单位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FDE12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本期数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F8AFE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去年同期数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5A3FF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同比（%）</w:t>
            </w:r>
          </w:p>
        </w:tc>
      </w:tr>
      <w:tr w14:paraId="62A8C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2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E789D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道路货运</w:t>
            </w:r>
          </w:p>
        </w:tc>
        <w:tc>
          <w:tcPr>
            <w:tcW w:w="21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D324E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经营业户数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4E702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户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74221F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20882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FB99EC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20395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A765B9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2.39%</w:t>
            </w:r>
          </w:p>
        </w:tc>
      </w:tr>
      <w:tr w14:paraId="033FE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A42B4F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4C70F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其中：普货业户数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5F22E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户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488D0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18134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C7DAC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17991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EA0FA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0.79%</w:t>
            </w:r>
          </w:p>
        </w:tc>
      </w:tr>
      <w:tr w14:paraId="7E359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956A69A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21AF8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危货业户数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BE476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户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27E8C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96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D6C066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97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B491D9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-1.03%</w:t>
            </w:r>
          </w:p>
        </w:tc>
      </w:tr>
      <w:tr w14:paraId="56734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B6C5DB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14DD3E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货运车辆数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B4951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55FEDB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93586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D3CAA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91273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E97B29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2.53%</w:t>
            </w:r>
          </w:p>
        </w:tc>
      </w:tr>
      <w:tr w14:paraId="140F1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F5FCAA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02A9D6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其中：单车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B7FEEE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B7591C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45120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317F9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45598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CBAA6E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-1.05%</w:t>
            </w:r>
          </w:p>
        </w:tc>
      </w:tr>
      <w:tr w14:paraId="5A192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F74E1E9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3EB10A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牵引车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E077A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23CDD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23984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0F404B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22865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1ADC8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4.89%</w:t>
            </w:r>
          </w:p>
        </w:tc>
      </w:tr>
      <w:tr w14:paraId="15C4F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AEE8A0E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AD822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挂车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29BB6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090E2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24292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B2C4B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22716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01830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6.94%</w:t>
            </w:r>
          </w:p>
        </w:tc>
      </w:tr>
      <w:tr w14:paraId="0E686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EAD82C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0F441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其他载货机动车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5A8883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辆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5ABD3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190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72E17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94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88B90C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102.13%</w:t>
            </w:r>
          </w:p>
        </w:tc>
      </w:tr>
      <w:tr w14:paraId="40F23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18DE00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4BC994C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货运车辆总吨位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5E3E0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吨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18182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1308894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1E0B8C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1280418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CBB422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2.22%</w:t>
            </w:r>
          </w:p>
        </w:tc>
      </w:tr>
      <w:tr w14:paraId="24646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915C04">
            <w:pPr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21BB3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车均吨位数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0AC04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吨/车</w:t>
            </w:r>
          </w:p>
        </w:tc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9D2B0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18.86</w:t>
            </w:r>
          </w:p>
        </w:tc>
        <w:tc>
          <w:tcPr>
            <w:tcW w:w="15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195716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18.74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4DD8B5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0.64%</w:t>
            </w:r>
          </w:p>
        </w:tc>
      </w:tr>
    </w:tbl>
    <w:p w14:paraId="1DF0F9D6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危险货物运输企业96家，危运车辆（含牵引车）4906辆；集装箱专用运输企业1373家，车辆28354辆；大件运输企业1374家，24084辆。</w:t>
      </w:r>
    </w:p>
    <w:p w14:paraId="59338E74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（二）水路运输工具</w:t>
      </w:r>
    </w:p>
    <w:p w14:paraId="7765B931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截至目前，全市109家水运企业（含个体户1家、客运企业3家、重点水路企业6家），我市目前共有各类营运船舶839艘（含客船、客渡船17艘、4216客位），同比下降8.31%，净载重量 1070.74万吨，同比增加5.62%，总吨671.41万吨。标准箱位达26458TEU。其中，远洋船舶144艘，总吨366.86万吨，净载重量598.39万吨，标准箱位0TEU。</w:t>
      </w:r>
    </w:p>
    <w:p w14:paraId="4D907306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（三）公交运输工具</w:t>
      </w:r>
    </w:p>
    <w:p w14:paraId="226C2ED8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全市拥有城市公交汽电车7707辆，同比下降4.06%，按燃料类型分，柴油车451辆，天然气车356辆，纯电动车5785辆，气电混合动力车914辆，电油混合动力车180辆，氢能源21辆。城市出租 汽车运营车辆9263辆，同比下降7.64%。城市轨道交通运营车辆2520辆，同比上升7.78%。</w:t>
      </w:r>
    </w:p>
    <w:p w14:paraId="5FC53A68"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三、交通基础设施通行情况</w:t>
      </w:r>
    </w:p>
    <w:p w14:paraId="01DE2E82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（一）公路客、货车流量监测</w:t>
      </w:r>
    </w:p>
    <w:p w14:paraId="4AE16BA6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截至三季度，预计全市普通干线公路日均交通量34.78万辆，同比上升3.57%。其中客车26.18万辆，同比上升4.49%，货车8.59万辆，同比增长0.85%。</w:t>
      </w:r>
    </w:p>
    <w:p w14:paraId="7A9F583A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联网高速公路日均交通量69.44万辆，同比增长6.42%，其中客车61.96万辆、同比增长5.82%，货车7.49万辆、同比上升11.66%（2024年联网高速无货车出城数据）。</w:t>
      </w:r>
    </w:p>
    <w:p w14:paraId="5434B788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非联网高速公路日均交通量达15.53万辆，同比上升17.70%。其中客车日均12.63万辆、同比增长4.49%，货车日均2.90万辆，同比上升16.7%。</w:t>
      </w:r>
    </w:p>
    <w:p w14:paraId="2CB3616B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（二）航道船闸交通量监测</w:t>
      </w:r>
    </w:p>
    <w:p w14:paraId="58541442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秦淮河船闸1-9月过闸船舶通过量384.43万吨，同比上升59.32%，过闸货物通过量191.76万吨，同比上升56.60%。主要原因：近期周边地区基础设施建设所需矿建材料需求增加，加之5月1日起实施过闸费取消政策，进一步刺激船舶通行需求。</w:t>
      </w:r>
    </w:p>
    <w:p w14:paraId="1C2DAC4B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下坝船闸1-9月过闸船舶通过量2938.25万吨，同比下降0.78%，过闸货物通过量1299.01万吨，同比上升1.67%。过闸船舶通过量、过闸货物通过量与去年同期基本持平。</w:t>
      </w:r>
    </w:p>
    <w:p w14:paraId="71B2C802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玉带船闸1-9月过闸船舶通过量434.64万吨，同比下降30.48%，过闸货物通过量230.39万吨，同比下降28.59%。主要原因：1、六合区域水运市场价格走低，船民利润空间进一步压缩；2、长江中上游沿江而下的大吨位船舶减少，下游船舶短驳航次减少，长江下游货物始发地（马鞍山、铜陵、芜湖）货物量骤降；房地产、基建行业萎缩，矿建材料需求减少，六合区域水运市场比较低迷。</w:t>
      </w:r>
    </w:p>
    <w:p w14:paraId="64532EC2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杨家湾船闸1-9月过闸船舶通过量2939.63万吨，同比下降0.58%，过闸货物通过量1301.20万吨，同比上升2.94%。过闸船舶通过量、过闸货物通过量与去年同期基本持平。</w:t>
      </w:r>
    </w:p>
    <w:p w14:paraId="331CFD8B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洪蓝船闸1-9月过闸船舶2艘，无货物通过量。主要原因如下：秦淮河上游的卡脖子段航道条件差，从芜申线方向沿秦淮河下行方向的航道基本无船舶通行。</w:t>
      </w:r>
    </w:p>
    <w:p w14:paraId="50DF3452"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四、重点运输企业运营情况</w:t>
      </w:r>
    </w:p>
    <w:p w14:paraId="0EB64A88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（一）重点公路客、货运企业监测情况</w:t>
      </w:r>
    </w:p>
    <w:p w14:paraId="0B585BEA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重点监测公路客运企业（江苏快鹿公司、南京长客集团等12个企业）三季度预计完成客运量1674.92万人、同比上升25.67%，完成旅客周转量125187.08万人公里、同比上升7.95%。</w:t>
      </w:r>
    </w:p>
    <w:p w14:paraId="5A6CE85B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重点监测货运企业（南京远方、金陵交运集团、南京福车等9个企业）监测，一季度预计完成货运量2345.25万吨，同比下降3.02%；完成货物周转量431266.15万吨公里，同比下降5.25%。</w:t>
      </w:r>
    </w:p>
    <w:p w14:paraId="0D9A072F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（二）公路客运站监测</w:t>
      </w:r>
    </w:p>
    <w:p w14:paraId="3DEB94E7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截至三季度，8个公路客运站（溧水、高淳站、高淳双牌石站、南京站、客运南站、葛塘站、禄口机场客运站、林场站）预计发送量188.45万人，同比下降21.22%。</w:t>
      </w:r>
    </w:p>
    <w:p w14:paraId="0619ED3C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（三）重点物流(货运站)企业监测</w:t>
      </w:r>
    </w:p>
    <w:p w14:paraId="12E4DD82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重点监测企业(江宁众彩物流、金陵交运物流基地等3个企业)三季度预计完成货物流通量1299.34万吨，同比上升8.0%。</w:t>
      </w:r>
    </w:p>
    <w:p w14:paraId="31B85D7F">
      <w:pPr>
        <w:spacing w:line="560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>（四）重点水路运输企业监测</w:t>
      </w:r>
    </w:p>
    <w:p w14:paraId="1211370B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2025年1-9月，全市共完成水路客运量61.66万人、同比增加11.86%，客运周转量476.36万人公里、同比增长29.90%；完成水路货运量16439.60万吨、同比增长11.91%，货运周转量34235489.00 万吨公里、 同比上升7.89%(其中，内河航区完成货运量2558.65万吨、同比下降2.66%，货物周转量1364431.34 万吨公里、同比下降3.45%；海洋航区完成货运量13790.95万吨、同比上升15.11%，货物周转量32871057.65万吨公里、同比上升8.42%)。</w:t>
      </w:r>
    </w:p>
    <w:p w14:paraId="754C345A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bCs/>
          <w:sz w:val="32"/>
          <w:szCs w:val="32"/>
        </w:rPr>
      </w:pPr>
      <w:r>
        <w:rPr>
          <w:rFonts w:ascii="Times New Roman" w:hAnsi="Times New Roman" w:eastAsia="方正小标宋_GBK"/>
          <w:bCs/>
          <w:sz w:val="32"/>
          <w:szCs w:val="32"/>
        </w:rPr>
        <w:t>全市2025年1-9月货运量、周转量</w:t>
      </w:r>
    </w:p>
    <w:tbl>
      <w:tblPr>
        <w:tblStyle w:val="2"/>
        <w:tblW w:w="843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1946"/>
        <w:gridCol w:w="1830"/>
        <w:gridCol w:w="1416"/>
      </w:tblGrid>
      <w:tr w14:paraId="65890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246" w:type="dxa"/>
            <w:tcBorders>
              <w:top w:val="single" w:color="72A7BB" w:sz="4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CEE1E8"/>
            <w:noWrap w:val="0"/>
            <w:vAlign w:val="center"/>
          </w:tcPr>
          <w:p w14:paraId="3BF52CC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货运量（万吨）</w:t>
            </w:r>
          </w:p>
        </w:tc>
        <w:tc>
          <w:tcPr>
            <w:tcW w:w="1946" w:type="dxa"/>
            <w:tcBorders>
              <w:top w:val="single" w:color="72A7BB" w:sz="4" w:space="0"/>
              <w:left w:val="single" w:color="72A7BB" w:sz="2" w:space="0"/>
              <w:bottom w:val="single" w:color="72A7BB" w:sz="4" w:space="0"/>
              <w:right w:val="single" w:color="72A7BB" w:sz="4" w:space="0"/>
            </w:tcBorders>
            <w:shd w:val="clear" w:color="auto" w:fill="CEE1E8"/>
            <w:noWrap w:val="0"/>
            <w:vAlign w:val="center"/>
          </w:tcPr>
          <w:p w14:paraId="695A1E3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2024年</w:t>
            </w:r>
          </w:p>
        </w:tc>
        <w:tc>
          <w:tcPr>
            <w:tcW w:w="1830" w:type="dxa"/>
            <w:tcBorders>
              <w:top w:val="single" w:color="72A7BB" w:sz="4" w:space="0"/>
              <w:left w:val="single" w:color="72A7BB" w:sz="2" w:space="0"/>
              <w:bottom w:val="single" w:color="72A7BB" w:sz="4" w:space="0"/>
              <w:right w:val="single" w:color="72A7BB" w:sz="4" w:space="0"/>
            </w:tcBorders>
            <w:shd w:val="clear" w:color="auto" w:fill="CEE1E8"/>
            <w:noWrap w:val="0"/>
            <w:vAlign w:val="center"/>
          </w:tcPr>
          <w:p w14:paraId="5BECF04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2025年</w:t>
            </w:r>
          </w:p>
        </w:tc>
        <w:tc>
          <w:tcPr>
            <w:tcW w:w="1416" w:type="dxa"/>
            <w:tcBorders>
              <w:top w:val="single" w:color="72A7BB" w:sz="4" w:space="0"/>
              <w:left w:val="single" w:color="72A7BB" w:sz="2" w:space="0"/>
              <w:bottom w:val="single" w:color="72A7BB" w:sz="4" w:space="0"/>
              <w:right w:val="single" w:color="72A7BB" w:sz="4" w:space="0"/>
            </w:tcBorders>
            <w:shd w:val="clear" w:color="auto" w:fill="CEE1E8"/>
            <w:noWrap w:val="0"/>
            <w:vAlign w:val="center"/>
          </w:tcPr>
          <w:p w14:paraId="5714075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增幅</w:t>
            </w:r>
          </w:p>
        </w:tc>
      </w:tr>
      <w:tr w14:paraId="6207F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246" w:type="dxa"/>
            <w:tcBorders>
              <w:top w:val="single" w:color="72A7BB" w:sz="2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noWrap w:val="0"/>
            <w:vAlign w:val="center"/>
          </w:tcPr>
          <w:p w14:paraId="2144045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总计</w:t>
            </w:r>
          </w:p>
        </w:tc>
        <w:tc>
          <w:tcPr>
            <w:tcW w:w="1946" w:type="dxa"/>
            <w:tcBorders>
              <w:top w:val="single" w:color="72A7BB" w:sz="2" w:space="0"/>
              <w:left w:val="single" w:color="72A7BB" w:sz="2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noWrap w:val="0"/>
            <w:vAlign w:val="center"/>
          </w:tcPr>
          <w:p w14:paraId="152995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14609.67</w:t>
            </w:r>
          </w:p>
        </w:tc>
        <w:tc>
          <w:tcPr>
            <w:tcW w:w="1830" w:type="dxa"/>
            <w:tcBorders>
              <w:top w:val="single" w:color="72A7BB" w:sz="2" w:space="0"/>
              <w:left w:val="single" w:color="72A7BB" w:sz="2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noWrap w:val="0"/>
            <w:vAlign w:val="center"/>
          </w:tcPr>
          <w:p w14:paraId="142BB52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16349.6</w:t>
            </w:r>
          </w:p>
        </w:tc>
        <w:tc>
          <w:tcPr>
            <w:tcW w:w="1416" w:type="dxa"/>
            <w:tcBorders>
              <w:top w:val="single" w:color="72A7BB" w:sz="2" w:space="0"/>
              <w:left w:val="single" w:color="72A7BB" w:sz="2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noWrap w:val="0"/>
            <w:vAlign w:val="center"/>
          </w:tcPr>
          <w:p w14:paraId="3226BF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11.91%</w:t>
            </w:r>
          </w:p>
        </w:tc>
      </w:tr>
      <w:tr w14:paraId="6F92C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246" w:type="dxa"/>
            <w:tcBorders>
              <w:top w:val="single" w:color="72A7BB" w:sz="2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noWrap w:val="0"/>
            <w:vAlign w:val="center"/>
          </w:tcPr>
          <w:p w14:paraId="1E24E76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海洋</w:t>
            </w:r>
          </w:p>
        </w:tc>
        <w:tc>
          <w:tcPr>
            <w:tcW w:w="1946" w:type="dxa"/>
            <w:tcBorders>
              <w:top w:val="single" w:color="72A7BB" w:sz="2" w:space="0"/>
              <w:left w:val="single" w:color="72A7BB" w:sz="2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noWrap w:val="0"/>
            <w:vAlign w:val="center"/>
          </w:tcPr>
          <w:p w14:paraId="55A05ED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11981.0</w:t>
            </w:r>
          </w:p>
        </w:tc>
        <w:tc>
          <w:tcPr>
            <w:tcW w:w="1830" w:type="dxa"/>
            <w:tcBorders>
              <w:top w:val="single" w:color="72A7BB" w:sz="2" w:space="0"/>
              <w:left w:val="single" w:color="72A7BB" w:sz="2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noWrap w:val="0"/>
            <w:vAlign w:val="center"/>
          </w:tcPr>
          <w:p w14:paraId="3DE07EA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13790.95</w:t>
            </w:r>
          </w:p>
        </w:tc>
        <w:tc>
          <w:tcPr>
            <w:tcW w:w="1416" w:type="dxa"/>
            <w:tcBorders>
              <w:top w:val="single" w:color="72A7BB" w:sz="2" w:space="0"/>
              <w:left w:val="single" w:color="72A7BB" w:sz="2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noWrap w:val="0"/>
            <w:vAlign w:val="center"/>
          </w:tcPr>
          <w:p w14:paraId="4702ABF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15.11%</w:t>
            </w:r>
          </w:p>
        </w:tc>
      </w:tr>
      <w:tr w14:paraId="62DC8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246" w:type="dxa"/>
            <w:tcBorders>
              <w:top w:val="single" w:color="72A7BB" w:sz="2" w:space="0"/>
              <w:left w:val="single" w:color="72A7BB" w:sz="4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noWrap w:val="0"/>
            <w:vAlign w:val="center"/>
          </w:tcPr>
          <w:p w14:paraId="3D309B0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内河</w:t>
            </w:r>
          </w:p>
        </w:tc>
        <w:tc>
          <w:tcPr>
            <w:tcW w:w="1946" w:type="dxa"/>
            <w:tcBorders>
              <w:top w:val="single" w:color="72A7BB" w:sz="2" w:space="0"/>
              <w:left w:val="single" w:color="72A7BB" w:sz="2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noWrap w:val="0"/>
            <w:vAlign w:val="center"/>
          </w:tcPr>
          <w:p w14:paraId="02BC73B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2628.67</w:t>
            </w:r>
          </w:p>
        </w:tc>
        <w:tc>
          <w:tcPr>
            <w:tcW w:w="1830" w:type="dxa"/>
            <w:tcBorders>
              <w:top w:val="single" w:color="72A7BB" w:sz="2" w:space="0"/>
              <w:left w:val="single" w:color="72A7BB" w:sz="2" w:space="0"/>
              <w:bottom w:val="single" w:color="72A7BB" w:sz="4" w:space="0"/>
              <w:right w:val="single" w:color="72A7BB" w:sz="4" w:space="0"/>
            </w:tcBorders>
            <w:shd w:val="clear" w:color="auto" w:fill="FEFEFE"/>
            <w:noWrap w:val="0"/>
            <w:vAlign w:val="center"/>
          </w:tcPr>
          <w:p w14:paraId="6198208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2558.65</w:t>
            </w:r>
          </w:p>
        </w:tc>
        <w:tc>
          <w:tcPr>
            <w:tcW w:w="1416" w:type="dxa"/>
            <w:tcBorders>
              <w:top w:val="single" w:color="72A7BB" w:sz="2" w:space="0"/>
              <w:left w:val="single" w:color="72A7BB" w:sz="2" w:space="0"/>
              <w:bottom w:val="single" w:color="72A7BB" w:sz="4" w:space="0"/>
              <w:right w:val="single" w:color="72A7BB" w:sz="4" w:space="0"/>
            </w:tcBorders>
            <w:shd w:val="clear" w:color="auto" w:fill="F0F0F0"/>
            <w:noWrap w:val="0"/>
            <w:vAlign w:val="center"/>
          </w:tcPr>
          <w:p w14:paraId="4DD11B7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-2.66%</w:t>
            </w:r>
          </w:p>
        </w:tc>
      </w:tr>
    </w:tbl>
    <w:p w14:paraId="05D1E5B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仿宋_GBK"/>
          <w:sz w:val="28"/>
          <w:szCs w:val="28"/>
        </w:rPr>
      </w:pPr>
    </w:p>
    <w:tbl>
      <w:tblPr>
        <w:tblStyle w:val="2"/>
        <w:tblW w:w="835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1900"/>
        <w:gridCol w:w="1961"/>
        <w:gridCol w:w="1329"/>
      </w:tblGrid>
      <w:tr w14:paraId="77DE5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1DC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货物周转量（万吨公里）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CB61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2024年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F5E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2025年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F74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增幅</w:t>
            </w:r>
          </w:p>
        </w:tc>
      </w:tr>
      <w:tr w14:paraId="39C4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CC8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总计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751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31730649.00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8E9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34235489.00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66A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7.89%</w:t>
            </w:r>
          </w:p>
        </w:tc>
      </w:tr>
      <w:tr w14:paraId="6E849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352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海洋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CF5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30317476.4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E12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32871057.66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9FF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8.42%</w:t>
            </w:r>
          </w:p>
        </w:tc>
      </w:tr>
      <w:tr w14:paraId="313AE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3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47A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内河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2A6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1413172.61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6B9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1364431.34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A18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-3.45%</w:t>
            </w:r>
          </w:p>
        </w:tc>
      </w:tr>
    </w:tbl>
    <w:p w14:paraId="3F84FABB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3、六家部省企业运输情况：</w:t>
      </w:r>
      <w:r>
        <w:rPr>
          <w:rFonts w:ascii="Times New Roman" w:hAnsi="Times New Roman" w:eastAsia="方正仿宋_GBK"/>
          <w:sz w:val="32"/>
          <w:szCs w:val="32"/>
        </w:rPr>
        <w:t>通过对6家部省监管水运企业（招商局南京油运股份有限公司、江苏远洋运输公司、江苏远东海运公司、南京远洋运输公司、南京长江油运物流公司、江苏兴联海运有限公司）监测，共完成货运量5667.41万吨，同比增加6.03%；完成货物周转量2202.42亿吨公里，同比下降0.02%。</w:t>
      </w:r>
    </w:p>
    <w:p w14:paraId="3FF87BBD">
      <w:pPr>
        <w:adjustRightInd w:val="0"/>
        <w:snapToGrid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 w14:paraId="51881A42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ascii="Times New Roman" w:hAnsi="Times New Roman" w:eastAsia="方正小标宋_GBK"/>
          <w:sz w:val="32"/>
          <w:szCs w:val="32"/>
        </w:rPr>
        <w:t>六家部、省监管企业1-9月货运量及周转量情况</w:t>
      </w:r>
    </w:p>
    <w:tbl>
      <w:tblPr>
        <w:tblStyle w:val="2"/>
        <w:tblW w:w="8050" w:type="dxa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5"/>
        <w:gridCol w:w="2160"/>
        <w:gridCol w:w="1808"/>
        <w:gridCol w:w="1807"/>
      </w:tblGrid>
      <w:tr w14:paraId="6481B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DFC36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货运量（万吨）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E53CE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2024（年）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57D29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2025（年）</w:t>
            </w:r>
          </w:p>
        </w:tc>
        <w:tc>
          <w:tcPr>
            <w:tcW w:w="1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D8DBF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增幅（%）</w:t>
            </w:r>
          </w:p>
        </w:tc>
      </w:tr>
      <w:tr w14:paraId="4B128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E70E0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总计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5E55E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5343.17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1442D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5667.41</w:t>
            </w:r>
          </w:p>
        </w:tc>
        <w:tc>
          <w:tcPr>
            <w:tcW w:w="1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 w14:paraId="6AE0D84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6.03%</w:t>
            </w:r>
          </w:p>
        </w:tc>
      </w:tr>
      <w:tr w14:paraId="1108B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D3520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远洋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C9F71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2675.41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D0481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2793.49</w:t>
            </w:r>
          </w:p>
        </w:tc>
        <w:tc>
          <w:tcPr>
            <w:tcW w:w="1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 w14:paraId="11D8CC7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4.41%</w:t>
            </w:r>
          </w:p>
        </w:tc>
      </w:tr>
      <w:tr w14:paraId="1E165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1B9F1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沿海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41D6B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2214.92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D2419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2456.62</w:t>
            </w:r>
          </w:p>
        </w:tc>
        <w:tc>
          <w:tcPr>
            <w:tcW w:w="1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 w14:paraId="7E71223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10.91%</w:t>
            </w:r>
          </w:p>
        </w:tc>
      </w:tr>
      <w:tr w14:paraId="1C07D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BC822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内河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71688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452.84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A49BA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417.30</w:t>
            </w:r>
          </w:p>
        </w:tc>
        <w:tc>
          <w:tcPr>
            <w:tcW w:w="1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 w14:paraId="403EC5A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-7.85%</w:t>
            </w:r>
          </w:p>
        </w:tc>
      </w:tr>
      <w:tr w14:paraId="4081E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6ACE9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货物周转量（亿吨公里）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5C58F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2024（年）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29DE9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2025（年）</w:t>
            </w:r>
          </w:p>
        </w:tc>
        <w:tc>
          <w:tcPr>
            <w:tcW w:w="1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A7003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增幅（%）</w:t>
            </w:r>
          </w:p>
        </w:tc>
      </w:tr>
      <w:tr w14:paraId="497D6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53FE3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总计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8D852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2202.07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6D687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2202.42</w:t>
            </w:r>
          </w:p>
        </w:tc>
        <w:tc>
          <w:tcPr>
            <w:tcW w:w="1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 w14:paraId="258C37A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0.02%</w:t>
            </w:r>
          </w:p>
        </w:tc>
      </w:tr>
      <w:tr w14:paraId="0C2D2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95837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远洋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BEBBE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1965.16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15647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1967.75</w:t>
            </w:r>
          </w:p>
        </w:tc>
        <w:tc>
          <w:tcPr>
            <w:tcW w:w="1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 w14:paraId="11A909F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0.13%</w:t>
            </w:r>
          </w:p>
        </w:tc>
      </w:tr>
      <w:tr w14:paraId="581FA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35285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沿海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792D2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200.41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BA024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208.78</w:t>
            </w:r>
          </w:p>
        </w:tc>
        <w:tc>
          <w:tcPr>
            <w:tcW w:w="1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 w14:paraId="15DB663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4.18%</w:t>
            </w:r>
          </w:p>
        </w:tc>
      </w:tr>
      <w:tr w14:paraId="2B7C8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50E60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内河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5E0E5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36.50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8B0B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25.89</w:t>
            </w:r>
          </w:p>
        </w:tc>
        <w:tc>
          <w:tcPr>
            <w:tcW w:w="18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 w14:paraId="4FEB4D5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-29.07%</w:t>
            </w:r>
          </w:p>
        </w:tc>
      </w:tr>
    </w:tbl>
    <w:p w14:paraId="16CE9C5E"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五、情况分析</w:t>
      </w:r>
    </w:p>
    <w:p w14:paraId="470C5D4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近期道路运输货源相对减少，行业内部竞争加剧，市场运价有所降低。周边浙江、安徽部分城市加大地方保护，南京货运企业无法获得与本地企业相同市场环境，增加了经营成本和协调难度。省内道路货运业信用管理相较周边浙江、山东、安徽等省份更为严格，南京企业在运输招标中竞争力不足。</w:t>
      </w:r>
    </w:p>
    <w:p w14:paraId="0ECC839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随着国际形势变化，大宗运输需求明显下降，中美贸易政策发生改变，对中贸易限制继续升级（中国建造并归中国所有的船舶每次进入美国港口将按每净吨50美元收取费用，并逐年递增至2028年的每净吨140美元，外国航运公司在中国建造的船舶进入美国港口需按“分级分类分阶段”缴纳港口费）均会对水上运输、特别是海洋运输造成巨大影响，后续水上运输形势不容乐观。</w:t>
      </w:r>
    </w:p>
    <w:p w14:paraId="744F9C97"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六、下一步工作举措</w:t>
      </w:r>
    </w:p>
    <w:p w14:paraId="715A2EC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一是持续加强道路货运重点规上企业走访服务，帮助头部企业扩大营运车辆规模，有效提升全市道路货运总量水平。配合溧水区做好言午运输，高淳区做好润丰物流、</w:t>
      </w:r>
      <w:r>
        <w:rPr>
          <w:rFonts w:ascii="Times New Roman" w:hAnsi="Times New Roman" w:eastAsia="微软雅黑"/>
          <w:sz w:val="32"/>
          <w:szCs w:val="32"/>
        </w:rPr>
        <w:t>犇</w:t>
      </w:r>
      <w:r>
        <w:rPr>
          <w:rFonts w:ascii="Times New Roman" w:hAnsi="Times New Roman" w:eastAsia="仿宋_GB2312"/>
          <w:sz w:val="32"/>
          <w:szCs w:val="32"/>
        </w:rPr>
        <w:t>亿工程等企业增车工作。</w:t>
      </w:r>
    </w:p>
    <w:p w14:paraId="2E64D1A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是积极落实“两重两新”政策，推进船舶拆解更新，培育规上航运企业。配合建邺区、玄武区、栖霞区做好南京远洋、江苏恒隆、江苏达海等部分重点水运企业新造船舶在宁纳统工作；加强企业升规培训，协助建邺区、鼓楼区做好德信船务、江苏绿航物流及江苏鹏远海运等企业服务工作，力争更多经营权船舶实现合规纳统。</w:t>
      </w:r>
    </w:p>
    <w:p w14:paraId="61C46170"/>
    <w:sectPr>
      <w:pgSz w:w="11906" w:h="16838"/>
      <w:pgMar w:top="1440" w:right="1797" w:bottom="1440" w:left="1797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0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2025-11-26T09:15:13Z</dcterms:created>
  <dc:creator>dell</dc:creator>
  <cp:lastModifiedBy>dell</cp:lastModifiedBy>
  <dcterms:modified xsi:type="dcterms:W3CDTF">2025-11-26T09:15:44Z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eyJoZGlkIjoiYWIwYjRiOGYyMTEyNzQ1NzkyZmEwODczZWQ0ZGE3OWMiLCJ1c2VySWQiOiIxMjA0MTMwOTE3In0=</vt:lpwstr>
  </property>
  <property fmtid="{D5CDD505-2E9C-101B-9397-08002B2CF9AE}" pid="4" name="ICV">
    <vt:lpwstr>CBDE90DA0404496EAA77C326D98E71F9_12</vt:lpwstr>
  </property>
</Properties>
</file>