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bCs/>
          <w:sz w:val="36"/>
          <w:szCs w:val="36"/>
        </w:rPr>
      </w:pPr>
    </w:p>
    <w:p>
      <w:pPr>
        <w:spacing w:line="360" w:lineRule="auto"/>
        <w:jc w:val="center"/>
        <w:rPr>
          <w:rFonts w:ascii="黑体" w:hAnsi="黑体" w:eastAsia="黑体"/>
          <w:b/>
          <w:bCs/>
          <w:sz w:val="36"/>
          <w:szCs w:val="36"/>
        </w:rPr>
      </w:pPr>
    </w:p>
    <w:p>
      <w:pPr>
        <w:spacing w:line="360" w:lineRule="auto"/>
        <w:jc w:val="center"/>
        <w:rPr>
          <w:rFonts w:ascii="黑体" w:hAnsi="黑体" w:eastAsia="黑体"/>
          <w:b/>
          <w:bCs/>
          <w:sz w:val="36"/>
          <w:szCs w:val="36"/>
        </w:rPr>
      </w:pPr>
    </w:p>
    <w:p>
      <w:pPr>
        <w:spacing w:line="360" w:lineRule="auto"/>
        <w:jc w:val="center"/>
        <w:rPr>
          <w:rFonts w:ascii="黑体" w:hAnsi="黑体" w:eastAsia="黑体"/>
          <w:b/>
          <w:bCs/>
          <w:sz w:val="36"/>
          <w:szCs w:val="36"/>
        </w:rPr>
      </w:pPr>
      <w:r>
        <w:rPr>
          <w:rFonts w:hint="eastAsia" w:ascii="黑体" w:hAnsi="黑体" w:eastAsia="黑体"/>
          <w:b/>
          <w:bCs/>
          <w:sz w:val="36"/>
          <w:szCs w:val="36"/>
        </w:rPr>
        <w:t>2024年度南京市交通运输局公交企业运营补贴</w:t>
      </w:r>
    </w:p>
    <w:p>
      <w:pPr>
        <w:spacing w:line="360" w:lineRule="auto"/>
        <w:jc w:val="center"/>
        <w:rPr>
          <w:rFonts w:ascii="黑体" w:hAnsi="黑体" w:eastAsia="黑体"/>
          <w:b/>
          <w:bCs/>
          <w:sz w:val="36"/>
          <w:szCs w:val="36"/>
        </w:rPr>
      </w:pPr>
      <w:r>
        <w:rPr>
          <w:rFonts w:hint="eastAsia" w:ascii="黑体" w:hAnsi="黑体" w:eastAsia="黑体"/>
          <w:b/>
          <w:bCs/>
          <w:sz w:val="36"/>
          <w:szCs w:val="36"/>
          <w:lang w:val="en-US" w:eastAsia="zh-CN"/>
        </w:rPr>
        <w:t>专项资金</w:t>
      </w:r>
      <w:r>
        <w:rPr>
          <w:rFonts w:hint="eastAsia" w:ascii="黑体" w:hAnsi="黑体" w:eastAsia="黑体"/>
          <w:b/>
          <w:bCs/>
          <w:sz w:val="36"/>
          <w:szCs w:val="36"/>
        </w:rPr>
        <w:t>绩效自评价报告</w:t>
      </w:r>
    </w:p>
    <w:p>
      <w:pPr>
        <w:spacing w:line="360" w:lineRule="auto"/>
        <w:ind w:firstLine="602" w:firstLineChars="200"/>
        <w:rPr>
          <w:rFonts w:ascii="仿宋_GB2312" w:eastAsia="仿宋_GB2312"/>
          <w:b/>
          <w:bCs/>
          <w:sz w:val="30"/>
          <w:szCs w:val="30"/>
        </w:rPr>
      </w:pPr>
    </w:p>
    <w:p>
      <w:pPr>
        <w:spacing w:line="360" w:lineRule="auto"/>
        <w:ind w:firstLine="602" w:firstLineChars="200"/>
        <w:rPr>
          <w:rFonts w:ascii="仿宋_GB2312" w:eastAsia="仿宋_GB2312"/>
          <w:b/>
          <w:bCs/>
          <w:sz w:val="30"/>
          <w:szCs w:val="30"/>
        </w:rPr>
      </w:pPr>
    </w:p>
    <w:p>
      <w:pPr>
        <w:spacing w:line="360" w:lineRule="auto"/>
        <w:ind w:firstLine="602" w:firstLineChars="200"/>
        <w:rPr>
          <w:rFonts w:ascii="仿宋_GB2312" w:eastAsia="仿宋_GB2312"/>
          <w:b/>
          <w:bCs/>
          <w:sz w:val="30"/>
          <w:szCs w:val="30"/>
        </w:rPr>
      </w:pPr>
    </w:p>
    <w:p>
      <w:pPr>
        <w:spacing w:line="360" w:lineRule="auto"/>
        <w:ind w:firstLine="602" w:firstLineChars="200"/>
        <w:rPr>
          <w:rFonts w:ascii="仿宋_GB2312" w:eastAsia="仿宋_GB2312"/>
          <w:b/>
          <w:bCs/>
          <w:sz w:val="30"/>
          <w:szCs w:val="30"/>
        </w:rPr>
      </w:pPr>
    </w:p>
    <w:p>
      <w:pPr>
        <w:spacing w:line="360" w:lineRule="auto"/>
        <w:ind w:firstLine="602" w:firstLineChars="200"/>
        <w:rPr>
          <w:rFonts w:ascii="仿宋_GB2312" w:eastAsia="仿宋_GB2312"/>
          <w:b/>
          <w:bCs/>
          <w:sz w:val="30"/>
          <w:szCs w:val="30"/>
        </w:rPr>
      </w:pPr>
    </w:p>
    <w:p>
      <w:pPr>
        <w:spacing w:line="360" w:lineRule="auto"/>
        <w:ind w:firstLine="602" w:firstLineChars="200"/>
        <w:rPr>
          <w:rFonts w:ascii="仿宋_GB2312" w:eastAsia="仿宋_GB2312"/>
          <w:b/>
          <w:bCs/>
          <w:sz w:val="30"/>
          <w:szCs w:val="30"/>
        </w:rPr>
      </w:pPr>
    </w:p>
    <w:p>
      <w:pPr>
        <w:spacing w:line="360" w:lineRule="auto"/>
        <w:ind w:firstLine="602" w:firstLineChars="200"/>
        <w:rPr>
          <w:rFonts w:ascii="仿宋_GB2312" w:eastAsia="仿宋_GB2312"/>
          <w:b/>
          <w:bCs/>
          <w:sz w:val="30"/>
          <w:szCs w:val="30"/>
        </w:rPr>
      </w:pPr>
    </w:p>
    <w:p>
      <w:pPr>
        <w:spacing w:line="360" w:lineRule="auto"/>
        <w:ind w:firstLine="602" w:firstLineChars="200"/>
        <w:rPr>
          <w:rFonts w:ascii="仿宋_GB2312" w:eastAsia="仿宋_GB2312"/>
          <w:b/>
          <w:bCs/>
          <w:sz w:val="30"/>
          <w:szCs w:val="30"/>
        </w:rPr>
      </w:pPr>
    </w:p>
    <w:p>
      <w:pPr>
        <w:spacing w:line="360" w:lineRule="auto"/>
        <w:ind w:firstLine="602" w:firstLineChars="200"/>
        <w:rPr>
          <w:rFonts w:ascii="仿宋_GB2312" w:eastAsia="仿宋_GB2312"/>
          <w:b/>
          <w:bCs/>
          <w:sz w:val="30"/>
          <w:szCs w:val="30"/>
        </w:rPr>
      </w:pPr>
    </w:p>
    <w:p>
      <w:pPr>
        <w:spacing w:line="360" w:lineRule="auto"/>
        <w:ind w:firstLine="602" w:firstLineChars="200"/>
        <w:rPr>
          <w:rFonts w:ascii="仿宋_GB2312" w:eastAsia="仿宋_GB2312"/>
          <w:b/>
          <w:bCs/>
          <w:sz w:val="30"/>
          <w:szCs w:val="30"/>
        </w:rPr>
      </w:pPr>
    </w:p>
    <w:p>
      <w:pPr>
        <w:spacing w:line="360" w:lineRule="auto"/>
        <w:ind w:firstLine="602" w:firstLineChars="200"/>
        <w:rPr>
          <w:rFonts w:ascii="仿宋_GB2312" w:eastAsia="仿宋_GB2312"/>
          <w:b/>
          <w:bCs/>
          <w:sz w:val="30"/>
          <w:szCs w:val="30"/>
        </w:rPr>
      </w:pPr>
    </w:p>
    <w:p>
      <w:pPr>
        <w:spacing w:line="360" w:lineRule="auto"/>
        <w:ind w:firstLine="602" w:firstLineChars="200"/>
        <w:rPr>
          <w:rFonts w:ascii="仿宋_GB2312" w:eastAsia="仿宋_GB2312"/>
          <w:b/>
          <w:bCs/>
          <w:sz w:val="30"/>
          <w:szCs w:val="30"/>
        </w:rPr>
      </w:pPr>
    </w:p>
    <w:p>
      <w:pPr>
        <w:spacing w:line="360" w:lineRule="auto"/>
        <w:ind w:firstLine="602" w:firstLineChars="200"/>
        <w:rPr>
          <w:rFonts w:ascii="仿宋_GB2312" w:eastAsia="仿宋_GB2312"/>
          <w:b/>
          <w:bCs/>
          <w:sz w:val="30"/>
          <w:szCs w:val="30"/>
        </w:rPr>
      </w:pPr>
    </w:p>
    <w:p>
      <w:pPr>
        <w:spacing w:line="360" w:lineRule="auto"/>
        <w:ind w:firstLine="602" w:firstLineChars="200"/>
        <w:rPr>
          <w:rFonts w:hint="default" w:ascii="仿宋_GB2312" w:eastAsia="仿宋_GB2312"/>
          <w:b/>
          <w:bCs/>
          <w:sz w:val="30"/>
          <w:szCs w:val="30"/>
          <w:lang w:val="en-US" w:eastAsia="zh-CN"/>
        </w:rPr>
      </w:pPr>
      <w:r>
        <w:rPr>
          <w:rFonts w:hint="eastAsia" w:ascii="仿宋_GB2312" w:eastAsia="仿宋_GB2312"/>
          <w:b/>
          <w:bCs/>
          <w:sz w:val="30"/>
          <w:szCs w:val="30"/>
        </w:rPr>
        <w:t>项目名称：20</w:t>
      </w:r>
      <w:r>
        <w:rPr>
          <w:rFonts w:ascii="仿宋_GB2312" w:eastAsia="仿宋_GB2312"/>
          <w:b/>
          <w:bCs/>
          <w:sz w:val="30"/>
          <w:szCs w:val="30"/>
        </w:rPr>
        <w:t>2</w:t>
      </w:r>
      <w:r>
        <w:rPr>
          <w:rFonts w:hint="eastAsia" w:ascii="仿宋_GB2312" w:eastAsia="仿宋_GB2312"/>
          <w:b/>
          <w:bCs/>
          <w:sz w:val="30"/>
          <w:szCs w:val="30"/>
          <w:lang w:val="en-US" w:eastAsia="zh-CN"/>
        </w:rPr>
        <w:t>4</w:t>
      </w:r>
      <w:r>
        <w:rPr>
          <w:rFonts w:hint="eastAsia" w:ascii="仿宋_GB2312" w:eastAsia="仿宋_GB2312"/>
          <w:b/>
          <w:bCs/>
          <w:sz w:val="30"/>
          <w:szCs w:val="30"/>
        </w:rPr>
        <w:t>年度南京市公交企业运营补贴</w:t>
      </w:r>
      <w:r>
        <w:rPr>
          <w:rFonts w:hint="eastAsia" w:ascii="仿宋_GB2312" w:eastAsia="仿宋_GB2312"/>
          <w:b/>
          <w:bCs/>
          <w:sz w:val="30"/>
          <w:szCs w:val="30"/>
          <w:lang w:val="en-US" w:eastAsia="zh-CN"/>
        </w:rPr>
        <w:t>专项资金</w:t>
      </w:r>
    </w:p>
    <w:p>
      <w:pPr>
        <w:spacing w:line="360" w:lineRule="auto"/>
        <w:ind w:firstLine="602" w:firstLineChars="200"/>
        <w:rPr>
          <w:rFonts w:ascii="仿宋_GB2312" w:eastAsia="仿宋_GB2312"/>
          <w:b/>
          <w:bCs/>
          <w:sz w:val="30"/>
          <w:szCs w:val="30"/>
        </w:rPr>
      </w:pPr>
      <w:r>
        <w:rPr>
          <w:rFonts w:hint="eastAsia" w:ascii="仿宋_GB2312" w:eastAsia="仿宋_GB2312"/>
          <w:b/>
          <w:bCs/>
          <w:sz w:val="30"/>
          <w:szCs w:val="30"/>
        </w:rPr>
        <w:t>主管部门：南京市交通运输局</w:t>
      </w:r>
    </w:p>
    <w:p>
      <w:pPr>
        <w:spacing w:line="360" w:lineRule="auto"/>
        <w:ind w:firstLine="602" w:firstLineChars="200"/>
        <w:rPr>
          <w:rFonts w:ascii="仿宋_GB2312" w:eastAsia="仿宋_GB2312"/>
          <w:b/>
          <w:bCs/>
          <w:sz w:val="30"/>
          <w:szCs w:val="30"/>
        </w:rPr>
      </w:pPr>
      <w:r>
        <w:rPr>
          <w:rFonts w:hint="eastAsia" w:ascii="仿宋_GB2312" w:eastAsia="仿宋_GB2312"/>
          <w:b/>
          <w:bCs/>
          <w:sz w:val="30"/>
          <w:szCs w:val="30"/>
        </w:rPr>
        <w:t>评价单位：南京市交通运输局</w:t>
      </w:r>
    </w:p>
    <w:p>
      <w:pPr>
        <w:spacing w:line="360" w:lineRule="auto"/>
        <w:ind w:firstLine="602" w:firstLineChars="200"/>
        <w:rPr>
          <w:rFonts w:ascii="仿宋_GB2312" w:eastAsia="仿宋_GB2312"/>
          <w:b/>
          <w:bCs/>
          <w:sz w:val="30"/>
          <w:szCs w:val="30"/>
        </w:rPr>
      </w:pPr>
      <w:r>
        <w:rPr>
          <w:rFonts w:ascii="仿宋_GB2312" w:eastAsia="仿宋_GB2312"/>
          <w:b/>
          <w:bCs/>
          <w:sz w:val="30"/>
          <w:szCs w:val="30"/>
        </w:rPr>
        <w:t>日</w:t>
      </w:r>
      <w:r>
        <w:rPr>
          <w:rFonts w:hint="eastAsia" w:ascii="仿宋_GB2312" w:eastAsia="仿宋_GB2312"/>
          <w:b/>
          <w:bCs/>
          <w:sz w:val="30"/>
          <w:szCs w:val="30"/>
        </w:rPr>
        <w:t xml:space="preserve">    </w:t>
      </w:r>
      <w:r>
        <w:rPr>
          <w:rFonts w:ascii="仿宋_GB2312" w:eastAsia="仿宋_GB2312"/>
          <w:b/>
          <w:bCs/>
          <w:sz w:val="30"/>
          <w:szCs w:val="30"/>
        </w:rPr>
        <w:t>期</w:t>
      </w:r>
      <w:r>
        <w:rPr>
          <w:rFonts w:hint="eastAsia" w:ascii="仿宋_GB2312" w:eastAsia="仿宋_GB2312"/>
          <w:b/>
          <w:bCs/>
          <w:sz w:val="30"/>
          <w:szCs w:val="30"/>
        </w:rPr>
        <w:t>：202</w:t>
      </w:r>
      <w:r>
        <w:rPr>
          <w:rFonts w:hint="eastAsia" w:ascii="仿宋_GB2312" w:eastAsia="仿宋_GB2312"/>
          <w:b/>
          <w:bCs/>
          <w:sz w:val="30"/>
          <w:szCs w:val="30"/>
          <w:lang w:val="en-US" w:eastAsia="zh-CN"/>
        </w:rPr>
        <w:t>5</w:t>
      </w:r>
      <w:r>
        <w:rPr>
          <w:rFonts w:hint="eastAsia" w:ascii="仿宋_GB2312" w:eastAsia="仿宋_GB2312"/>
          <w:b/>
          <w:bCs/>
          <w:sz w:val="30"/>
          <w:szCs w:val="30"/>
        </w:rPr>
        <w:t>年</w:t>
      </w:r>
      <w:r>
        <w:rPr>
          <w:rFonts w:hint="eastAsia" w:ascii="仿宋_GB2312" w:eastAsia="仿宋_GB2312"/>
          <w:b/>
          <w:bCs/>
          <w:sz w:val="30"/>
          <w:szCs w:val="30"/>
          <w:lang w:val="en-US" w:eastAsia="zh-CN"/>
        </w:rPr>
        <w:t>6</w:t>
      </w:r>
      <w:r>
        <w:rPr>
          <w:rFonts w:hint="eastAsia" w:ascii="仿宋_GB2312" w:eastAsia="仿宋_GB2312"/>
          <w:b/>
          <w:bCs/>
          <w:sz w:val="30"/>
          <w:szCs w:val="30"/>
        </w:rPr>
        <w:t>月</w:t>
      </w:r>
    </w:p>
    <w:p>
      <w:pPr>
        <w:pStyle w:val="16"/>
        <w:pageBreakBefore w:val="0"/>
        <w:tabs>
          <w:tab w:val="right" w:leader="dot" w:pos="8296"/>
        </w:tabs>
        <w:kinsoku/>
        <w:wordWrap/>
        <w:overflowPunct/>
        <w:topLinePunct w:val="0"/>
        <w:autoSpaceDE/>
        <w:autoSpaceDN/>
        <w:bidi w:val="0"/>
        <w:adjustRightInd/>
        <w:snapToGrid/>
        <w:spacing w:line="360" w:lineRule="auto"/>
        <w:jc w:val="center"/>
        <w:textAlignment w:val="auto"/>
        <w:outlineLvl w:val="0"/>
        <w:rPr>
          <w:rFonts w:hint="eastAsia" w:ascii="仿宋_GB2312" w:hAnsi="仿宋_GB2312" w:eastAsia="仿宋_GB2312" w:cs="仿宋_GB2312"/>
          <w:b w:val="0"/>
          <w:bCs/>
          <w:color w:val="000000" w:themeColor="text1"/>
          <w:kern w:val="0"/>
          <w:sz w:val="32"/>
          <w:szCs w:val="32"/>
          <w:lang w:val="zh-CN" w:eastAsia="zh-CN" w:bidi="ar-SA"/>
          <w14:textFill>
            <w14:solidFill>
              <w14:schemeClr w14:val="tx1"/>
            </w14:solidFill>
          </w14:textFill>
        </w:rPr>
      </w:pPr>
      <w:bookmarkStart w:id="0" w:name="_Toc5687"/>
      <w:bookmarkStart w:id="1" w:name="_Toc31355"/>
      <w:bookmarkStart w:id="2" w:name="_Toc26038"/>
      <w:bookmarkStart w:id="3" w:name="_Toc24040"/>
      <w:r>
        <w:rPr>
          <w:rFonts w:hint="eastAsia" w:ascii="仿宋_GB2312" w:hAnsi="仿宋_GB2312" w:eastAsia="仿宋_GB2312" w:cs="仿宋_GB2312"/>
          <w:b/>
          <w:bCs/>
          <w:color w:val="000000" w:themeColor="text1"/>
          <w:sz w:val="32"/>
          <w:szCs w:val="32"/>
          <w:highlight w:val="none"/>
          <w:lang w:val="zh-CN"/>
          <w14:textFill>
            <w14:solidFill>
              <w14:schemeClr w14:val="tx1"/>
            </w14:solidFill>
          </w14:textFill>
        </w:rPr>
        <w:t>目  录</w:t>
      </w:r>
      <w:bookmarkEnd w:id="0"/>
      <w:bookmarkEnd w:id="1"/>
      <w:bookmarkEnd w:id="2"/>
      <w:bookmarkEnd w:id="3"/>
      <w:r>
        <w:rPr>
          <w:rFonts w:hint="eastAsia" w:ascii="仿宋_GB2312" w:hAnsi="仿宋_GB2312" w:eastAsia="仿宋_GB2312" w:cs="仿宋_GB2312"/>
          <w:b/>
          <w:bCs/>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
          <w:bCs/>
          <w:color w:val="000000" w:themeColor="text1"/>
          <w:sz w:val="32"/>
          <w:szCs w:val="32"/>
          <w14:textFill>
            <w14:solidFill>
              <w14:schemeClr w14:val="tx1"/>
            </w14:solidFill>
          </w14:textFill>
        </w:rPr>
        <w:instrText xml:space="preserve"> TOC \o "1-3" \h \z \u </w:instrText>
      </w:r>
      <w:r>
        <w:rPr>
          <w:rFonts w:hint="eastAsia" w:ascii="仿宋_GB2312" w:hAnsi="仿宋_GB2312" w:eastAsia="仿宋_GB2312" w:cs="仿宋_GB2312"/>
          <w:b/>
          <w:bCs/>
          <w:color w:val="000000" w:themeColor="text1"/>
          <w:sz w:val="32"/>
          <w:szCs w:val="32"/>
          <w14:textFill>
            <w14:solidFill>
              <w14:schemeClr w14:val="tx1"/>
            </w14:solidFill>
          </w14:textFill>
        </w:rPr>
        <w:fldChar w:fldCharType="separate"/>
      </w:r>
    </w:p>
    <w:p>
      <w:pPr>
        <w:pStyle w:val="7"/>
        <w:pageBreakBefore w:val="0"/>
        <w:tabs>
          <w:tab w:val="right" w:leader="dot" w:pos="8312"/>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begin"/>
      </w:r>
      <w:r>
        <w:rPr>
          <w:rFonts w:hint="eastAsia" w:ascii="仿宋_GB2312" w:hAnsi="仿宋_GB2312" w:eastAsia="仿宋_GB2312" w:cs="仿宋_GB2312"/>
          <w:bCs/>
          <w:color w:val="000000" w:themeColor="text1"/>
          <w:sz w:val="32"/>
          <w:szCs w:val="32"/>
          <w:lang w:val="zh-CN"/>
          <w14:textFill>
            <w14:solidFill>
              <w14:schemeClr w14:val="tx1"/>
            </w14:solidFill>
          </w14:textFill>
        </w:rPr>
        <w:instrText xml:space="preserve"> HYPERLINK \l _Toc31881 </w:instrText>
      </w: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w:t>
      </w:r>
      <w:r>
        <w:rPr>
          <w:rFonts w:hint="eastAsia" w:ascii="仿宋_GB2312" w:hAnsi="仿宋_GB2312" w:eastAsia="仿宋_GB2312" w:cs="仿宋_GB2312"/>
          <w:color w:val="000000" w:themeColor="text1"/>
          <w:sz w:val="32"/>
          <w:szCs w:val="32"/>
          <w14:textFill>
            <w14:solidFill>
              <w14:schemeClr w14:val="tx1"/>
            </w14:solidFill>
          </w14:textFill>
        </w:rPr>
        <w:t>概况</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_Toc31881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end"/>
      </w:r>
    </w:p>
    <w:p>
      <w:pPr>
        <w:pStyle w:val="8"/>
        <w:pageBreakBefore w:val="0"/>
        <w:tabs>
          <w:tab w:val="right" w:leader="dot" w:pos="8312"/>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begin"/>
      </w:r>
      <w:r>
        <w:rPr>
          <w:rFonts w:hint="eastAsia" w:ascii="仿宋_GB2312" w:hAnsi="仿宋_GB2312" w:eastAsia="仿宋_GB2312" w:cs="仿宋_GB2312"/>
          <w:bCs/>
          <w:color w:val="000000" w:themeColor="text1"/>
          <w:sz w:val="32"/>
          <w:szCs w:val="32"/>
          <w:lang w:val="zh-CN"/>
          <w14:textFill>
            <w14:solidFill>
              <w14:schemeClr w14:val="tx1"/>
            </w14:solidFill>
          </w14:textFill>
        </w:rPr>
        <w:instrText xml:space="preserve"> HYPERLINK \l _Toc15143 </w:instrText>
      </w: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separate"/>
      </w:r>
      <w:r>
        <w:rPr>
          <w:rFonts w:hint="eastAsia" w:ascii="仿宋_GB2312" w:hAnsi="仿宋_GB2312" w:eastAsia="仿宋_GB2312" w:cs="仿宋_GB2312"/>
          <w:bCs/>
          <w:color w:val="000000" w:themeColor="text1"/>
          <w:sz w:val="32"/>
          <w:szCs w:val="32"/>
          <w14:textFill>
            <w14:solidFill>
              <w14:schemeClr w14:val="tx1"/>
            </w14:solidFill>
          </w14:textFill>
        </w:rPr>
        <w:t>（一）</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项目</w:t>
      </w:r>
      <w:r>
        <w:rPr>
          <w:rFonts w:hint="eastAsia" w:ascii="仿宋_GB2312" w:hAnsi="仿宋_GB2312" w:eastAsia="仿宋_GB2312" w:cs="仿宋_GB2312"/>
          <w:bCs/>
          <w:color w:val="000000" w:themeColor="text1"/>
          <w:sz w:val="32"/>
          <w:szCs w:val="32"/>
          <w14:textFill>
            <w14:solidFill>
              <w14:schemeClr w14:val="tx1"/>
            </w14:solidFill>
          </w14:textFill>
        </w:rPr>
        <w:t>基本情况</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_Toc15143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end"/>
      </w:r>
    </w:p>
    <w:p>
      <w:pPr>
        <w:pStyle w:val="8"/>
        <w:pageBreakBefore w:val="0"/>
        <w:tabs>
          <w:tab w:val="right" w:leader="dot" w:pos="8312"/>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begin"/>
      </w:r>
      <w:r>
        <w:rPr>
          <w:rFonts w:hint="eastAsia" w:ascii="仿宋_GB2312" w:hAnsi="仿宋_GB2312" w:eastAsia="仿宋_GB2312" w:cs="仿宋_GB2312"/>
          <w:bCs/>
          <w:color w:val="000000" w:themeColor="text1"/>
          <w:sz w:val="32"/>
          <w:szCs w:val="32"/>
          <w:lang w:val="zh-CN"/>
          <w14:textFill>
            <w14:solidFill>
              <w14:schemeClr w14:val="tx1"/>
            </w14:solidFill>
          </w14:textFill>
        </w:rPr>
        <w:instrText xml:space="preserve"> HYPERLINK \l _Toc30012 </w:instrText>
      </w: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separate"/>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项目资金情况</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_Toc30012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end"/>
      </w:r>
    </w:p>
    <w:p>
      <w:pPr>
        <w:pStyle w:val="8"/>
        <w:pageBreakBefore w:val="0"/>
        <w:tabs>
          <w:tab w:val="right" w:leader="dot" w:pos="8312"/>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begin"/>
      </w:r>
      <w:r>
        <w:rPr>
          <w:rFonts w:hint="eastAsia" w:ascii="仿宋_GB2312" w:hAnsi="仿宋_GB2312" w:eastAsia="仿宋_GB2312" w:cs="仿宋_GB2312"/>
          <w:bCs/>
          <w:color w:val="000000" w:themeColor="text1"/>
          <w:sz w:val="32"/>
          <w:szCs w:val="32"/>
          <w:lang w:val="zh-CN"/>
          <w14:textFill>
            <w14:solidFill>
              <w14:schemeClr w14:val="tx1"/>
            </w14:solidFill>
          </w14:textFill>
        </w:rPr>
        <w:instrText xml:space="preserve"> HYPERLINK \l _Toc10147 </w:instrText>
      </w: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separate"/>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（三）绩效目标</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_Toc10147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end"/>
      </w:r>
    </w:p>
    <w:p>
      <w:pPr>
        <w:pStyle w:val="8"/>
        <w:pageBreakBefore w:val="0"/>
        <w:tabs>
          <w:tab w:val="right" w:leader="dot" w:pos="8312"/>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begin"/>
      </w:r>
      <w:r>
        <w:rPr>
          <w:rFonts w:hint="eastAsia" w:ascii="仿宋_GB2312" w:hAnsi="仿宋_GB2312" w:eastAsia="仿宋_GB2312" w:cs="仿宋_GB2312"/>
          <w:bCs/>
          <w:color w:val="000000" w:themeColor="text1"/>
          <w:sz w:val="32"/>
          <w:szCs w:val="32"/>
          <w:lang w:val="zh-CN"/>
          <w14:textFill>
            <w14:solidFill>
              <w14:schemeClr w14:val="tx1"/>
            </w14:solidFill>
          </w14:textFill>
        </w:rPr>
        <w:instrText xml:space="preserve"> HYPERLINK \l _Toc26411 </w:instrText>
      </w: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separate"/>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（五）项目利益相关方</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_Toc26411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end"/>
      </w:r>
    </w:p>
    <w:p>
      <w:pPr>
        <w:pStyle w:val="7"/>
        <w:pageBreakBefore w:val="0"/>
        <w:tabs>
          <w:tab w:val="right" w:leader="dot" w:pos="8312"/>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begin"/>
      </w:r>
      <w:r>
        <w:rPr>
          <w:rFonts w:hint="eastAsia" w:ascii="仿宋_GB2312" w:hAnsi="仿宋_GB2312" w:eastAsia="仿宋_GB2312" w:cs="仿宋_GB2312"/>
          <w:bCs/>
          <w:color w:val="000000" w:themeColor="text1"/>
          <w:sz w:val="32"/>
          <w:szCs w:val="32"/>
          <w:lang w:val="zh-CN"/>
          <w14:textFill>
            <w14:solidFill>
              <w14:schemeClr w14:val="tx1"/>
            </w14:solidFill>
          </w14:textFill>
        </w:rPr>
        <w:instrText xml:space="preserve"> HYPERLINK \l _Toc31307 </w:instrText>
      </w: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二、评价结论</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_Toc31307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end"/>
      </w:r>
    </w:p>
    <w:p>
      <w:pPr>
        <w:pStyle w:val="8"/>
        <w:pageBreakBefore w:val="0"/>
        <w:tabs>
          <w:tab w:val="right" w:leader="dot" w:pos="8312"/>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begin"/>
      </w:r>
      <w:r>
        <w:rPr>
          <w:rFonts w:hint="eastAsia" w:ascii="仿宋_GB2312" w:hAnsi="仿宋_GB2312" w:eastAsia="仿宋_GB2312" w:cs="仿宋_GB2312"/>
          <w:bCs/>
          <w:color w:val="000000" w:themeColor="text1"/>
          <w:sz w:val="32"/>
          <w:szCs w:val="32"/>
          <w:lang w:val="zh-CN"/>
          <w14:textFill>
            <w14:solidFill>
              <w14:schemeClr w14:val="tx1"/>
            </w14:solidFill>
          </w14:textFill>
        </w:rPr>
        <w:instrText xml:space="preserve"> HYPERLINK \l _Toc2542 </w:instrText>
      </w: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separate"/>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评价对象与范围</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_Toc2542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end"/>
      </w:r>
    </w:p>
    <w:p>
      <w:pPr>
        <w:pStyle w:val="8"/>
        <w:pageBreakBefore w:val="0"/>
        <w:tabs>
          <w:tab w:val="right" w:leader="dot" w:pos="8312"/>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begin"/>
      </w:r>
      <w:r>
        <w:rPr>
          <w:rFonts w:hint="eastAsia" w:ascii="仿宋_GB2312" w:hAnsi="仿宋_GB2312" w:eastAsia="仿宋_GB2312" w:cs="仿宋_GB2312"/>
          <w:bCs/>
          <w:color w:val="000000" w:themeColor="text1"/>
          <w:sz w:val="32"/>
          <w:szCs w:val="32"/>
          <w:lang w:val="zh-CN"/>
          <w14:textFill>
            <w14:solidFill>
              <w14:schemeClr w14:val="tx1"/>
            </w14:solidFill>
          </w14:textFill>
        </w:rPr>
        <w:instrText xml:space="preserve"> HYPERLINK \l _Toc1389 </w:instrText>
      </w: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separate"/>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绩效评价结论</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_Toc1389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end"/>
      </w:r>
    </w:p>
    <w:p>
      <w:pPr>
        <w:pStyle w:val="7"/>
        <w:pageBreakBefore w:val="0"/>
        <w:tabs>
          <w:tab w:val="right" w:leader="dot" w:pos="8312"/>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begin"/>
      </w:r>
      <w:r>
        <w:rPr>
          <w:rFonts w:hint="eastAsia" w:ascii="仿宋_GB2312" w:hAnsi="仿宋_GB2312" w:eastAsia="仿宋_GB2312" w:cs="仿宋_GB2312"/>
          <w:bCs/>
          <w:color w:val="000000" w:themeColor="text1"/>
          <w:sz w:val="32"/>
          <w:szCs w:val="32"/>
          <w:lang w:val="zh-CN"/>
          <w14:textFill>
            <w14:solidFill>
              <w14:schemeClr w14:val="tx1"/>
            </w14:solidFill>
          </w14:textFill>
        </w:rPr>
        <w:instrText xml:space="preserve"> HYPERLINK \l _Toc17257 </w:instrText>
      </w: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三、项目成效</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_Toc17257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end"/>
      </w:r>
    </w:p>
    <w:p>
      <w:pPr>
        <w:pStyle w:val="7"/>
        <w:pageBreakBefore w:val="0"/>
        <w:tabs>
          <w:tab w:val="right" w:leader="dot" w:pos="8312"/>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begin"/>
      </w:r>
      <w:r>
        <w:rPr>
          <w:rFonts w:hint="eastAsia" w:ascii="仿宋_GB2312" w:hAnsi="仿宋_GB2312" w:eastAsia="仿宋_GB2312" w:cs="仿宋_GB2312"/>
          <w:bCs/>
          <w:color w:val="000000" w:themeColor="text1"/>
          <w:sz w:val="32"/>
          <w:szCs w:val="32"/>
          <w:lang w:val="zh-CN"/>
          <w14:textFill>
            <w14:solidFill>
              <w14:schemeClr w14:val="tx1"/>
            </w14:solidFill>
          </w14:textFill>
        </w:rPr>
        <w:instrText xml:space="preserve"> HYPERLINK \l _Toc10494 </w:instrText>
      </w: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四、存在问题及原因分析</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_Toc10494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end"/>
      </w:r>
    </w:p>
    <w:p>
      <w:pPr>
        <w:pStyle w:val="7"/>
        <w:pageBreakBefore w:val="0"/>
        <w:tabs>
          <w:tab w:val="right" w:leader="dot" w:pos="8312"/>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begin"/>
      </w:r>
      <w:r>
        <w:rPr>
          <w:rFonts w:hint="eastAsia" w:ascii="仿宋_GB2312" w:hAnsi="仿宋_GB2312" w:eastAsia="仿宋_GB2312" w:cs="仿宋_GB2312"/>
          <w:bCs/>
          <w:color w:val="000000" w:themeColor="text1"/>
          <w:sz w:val="32"/>
          <w:szCs w:val="32"/>
          <w:lang w:val="zh-CN"/>
          <w14:textFill>
            <w14:solidFill>
              <w14:schemeClr w14:val="tx1"/>
            </w14:solidFill>
          </w14:textFill>
        </w:rPr>
        <w:instrText xml:space="preserve"> HYPERLINK \l _Toc18132 </w:instrText>
      </w: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五、有关建议</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_Toc18132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19</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end"/>
      </w:r>
    </w:p>
    <w:p>
      <w:pPr>
        <w:pStyle w:val="7"/>
        <w:pageBreakBefore w:val="0"/>
        <w:tabs>
          <w:tab w:val="right" w:leader="dot" w:pos="8312"/>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begin"/>
      </w:r>
      <w:r>
        <w:rPr>
          <w:rFonts w:hint="eastAsia" w:ascii="仿宋_GB2312" w:hAnsi="仿宋_GB2312" w:eastAsia="仿宋_GB2312" w:cs="仿宋_GB2312"/>
          <w:bCs/>
          <w:color w:val="000000" w:themeColor="text1"/>
          <w:sz w:val="32"/>
          <w:szCs w:val="32"/>
          <w:lang w:val="zh-CN"/>
          <w14:textFill>
            <w14:solidFill>
              <w14:schemeClr w14:val="tx1"/>
            </w14:solidFill>
          </w14:textFill>
        </w:rPr>
        <w:instrText xml:space="preserve"> HYPERLINK \l _Toc14856 </w:instrText>
      </w: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六、评价工作开展情况及其他需说明的情况</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_Toc14856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end"/>
      </w:r>
    </w:p>
    <w:p>
      <w:pPr>
        <w:pStyle w:val="8"/>
        <w:pageBreakBefore w:val="0"/>
        <w:tabs>
          <w:tab w:val="right" w:leader="dot" w:pos="8312"/>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begin"/>
      </w:r>
      <w:r>
        <w:rPr>
          <w:rFonts w:hint="eastAsia" w:ascii="仿宋_GB2312" w:hAnsi="仿宋_GB2312" w:eastAsia="仿宋_GB2312" w:cs="仿宋_GB2312"/>
          <w:bCs/>
          <w:color w:val="000000" w:themeColor="text1"/>
          <w:sz w:val="32"/>
          <w:szCs w:val="32"/>
          <w:lang w:val="zh-CN"/>
          <w14:textFill>
            <w14:solidFill>
              <w14:schemeClr w14:val="tx1"/>
            </w14:solidFill>
          </w14:textFill>
        </w:rPr>
        <w:instrText xml:space="preserve"> HYPERLINK \l _Toc4346 </w:instrText>
      </w: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separate"/>
      </w:r>
      <w:r>
        <w:rPr>
          <w:rFonts w:hint="eastAsia" w:ascii="仿宋_GB2312" w:hAnsi="仿宋_GB2312" w:eastAsia="仿宋_GB2312" w:cs="仿宋_GB2312"/>
          <w:bCs/>
          <w:color w:val="000000" w:themeColor="text1"/>
          <w:kern w:val="2"/>
          <w:sz w:val="32"/>
          <w:szCs w:val="32"/>
          <w:highlight w:val="none"/>
          <w:lang w:val="en-US" w:eastAsia="zh-CN" w:bidi="ar-SA"/>
          <w14:textFill>
            <w14:solidFill>
              <w14:schemeClr w14:val="tx1"/>
            </w14:solidFill>
          </w14:textFill>
        </w:rPr>
        <w:t>（一）绩效评价工作情况</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_Toc4346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end"/>
      </w:r>
    </w:p>
    <w:p>
      <w:pPr>
        <w:pStyle w:val="8"/>
        <w:pageBreakBefore w:val="0"/>
        <w:tabs>
          <w:tab w:val="right" w:leader="dot" w:pos="8312"/>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begin"/>
      </w:r>
      <w:r>
        <w:rPr>
          <w:rFonts w:hint="eastAsia" w:ascii="仿宋_GB2312" w:hAnsi="仿宋_GB2312" w:eastAsia="仿宋_GB2312" w:cs="仿宋_GB2312"/>
          <w:bCs/>
          <w:color w:val="000000" w:themeColor="text1"/>
          <w:sz w:val="32"/>
          <w:szCs w:val="32"/>
          <w:lang w:val="zh-CN"/>
          <w14:textFill>
            <w14:solidFill>
              <w14:schemeClr w14:val="tx1"/>
            </w14:solidFill>
          </w14:textFill>
        </w:rPr>
        <w:instrText xml:space="preserve"> HYPERLINK \l _Toc30312 </w:instrText>
      </w: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separate"/>
      </w:r>
      <w:r>
        <w:rPr>
          <w:rFonts w:hint="eastAsia" w:ascii="仿宋_GB2312" w:hAnsi="仿宋_GB2312" w:eastAsia="仿宋_GB2312" w:cs="仿宋_GB2312"/>
          <w:bCs/>
          <w:color w:val="000000" w:themeColor="text1"/>
          <w:kern w:val="2"/>
          <w:sz w:val="32"/>
          <w:szCs w:val="32"/>
          <w:highlight w:val="none"/>
          <w:lang w:val="en-US" w:eastAsia="zh-CN" w:bidi="ar-SA"/>
          <w14:textFill>
            <w14:solidFill>
              <w14:schemeClr w14:val="tx1"/>
            </w14:solidFill>
          </w14:textFill>
        </w:rPr>
        <w:t>（二）绩效分析</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_Toc30312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end"/>
      </w:r>
    </w:p>
    <w:p>
      <w:pPr>
        <w:pStyle w:val="8"/>
        <w:pageBreakBefore w:val="0"/>
        <w:tabs>
          <w:tab w:val="right" w:leader="dot" w:pos="8312"/>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begin"/>
      </w:r>
      <w:r>
        <w:rPr>
          <w:rFonts w:hint="eastAsia" w:ascii="仿宋_GB2312" w:hAnsi="仿宋_GB2312" w:eastAsia="仿宋_GB2312" w:cs="仿宋_GB2312"/>
          <w:bCs/>
          <w:color w:val="000000" w:themeColor="text1"/>
          <w:sz w:val="32"/>
          <w:szCs w:val="32"/>
          <w:lang w:val="zh-CN"/>
          <w14:textFill>
            <w14:solidFill>
              <w14:schemeClr w14:val="tx1"/>
            </w14:solidFill>
          </w14:textFill>
        </w:rPr>
        <w:instrText xml:space="preserve"> HYPERLINK \l _Toc21373 </w:instrText>
      </w: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separate"/>
      </w:r>
      <w:r>
        <w:rPr>
          <w:rFonts w:hint="eastAsia" w:ascii="仿宋_GB2312" w:hAnsi="仿宋_GB2312" w:eastAsia="仿宋_GB2312" w:cs="仿宋_GB2312"/>
          <w:bCs/>
          <w:color w:val="000000" w:themeColor="text1"/>
          <w:kern w:val="2"/>
          <w:sz w:val="32"/>
          <w:szCs w:val="32"/>
          <w:highlight w:val="none"/>
          <w:lang w:val="en-US" w:eastAsia="zh-CN" w:bidi="ar-SA"/>
          <w14:textFill>
            <w14:solidFill>
              <w14:schemeClr w14:val="tx1"/>
            </w14:solidFill>
          </w14:textFill>
        </w:rPr>
        <w:t>（三）其他需说明的情况</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_Toc21373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27</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end"/>
      </w:r>
    </w:p>
    <w:p>
      <w:pPr>
        <w:pStyle w:val="7"/>
        <w:pageBreakBefore w:val="0"/>
        <w:tabs>
          <w:tab w:val="right" w:leader="dot" w:pos="8312"/>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begin"/>
      </w:r>
      <w:r>
        <w:rPr>
          <w:rFonts w:hint="eastAsia" w:ascii="仿宋_GB2312" w:hAnsi="仿宋_GB2312" w:eastAsia="仿宋_GB2312" w:cs="仿宋_GB2312"/>
          <w:bCs/>
          <w:color w:val="000000" w:themeColor="text1"/>
          <w:sz w:val="32"/>
          <w:szCs w:val="32"/>
          <w:lang w:val="zh-CN"/>
          <w14:textFill>
            <w14:solidFill>
              <w14:schemeClr w14:val="tx1"/>
            </w14:solidFill>
          </w14:textFill>
        </w:rPr>
        <w:instrText xml:space="preserve"> HYPERLINK \l _Toc28557 </w:instrText>
      </w: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附件1：指标体系得分情况</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_Toc28557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29</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end"/>
      </w:r>
    </w:p>
    <w:p>
      <w:pPr>
        <w:pStyle w:val="7"/>
        <w:pageBreakBefore w:val="0"/>
        <w:tabs>
          <w:tab w:val="right" w:leader="dot" w:pos="8296"/>
        </w:tabs>
        <w:kinsoku/>
        <w:wordWrap/>
        <w:overflowPunct/>
        <w:topLinePunct w:val="0"/>
        <w:autoSpaceDE/>
        <w:autoSpaceDN/>
        <w:bidi w:val="0"/>
        <w:adjustRightInd/>
        <w:snapToGrid/>
        <w:spacing w:line="360" w:lineRule="auto"/>
        <w:jc w:val="center"/>
        <w:textAlignment w:val="auto"/>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Cs/>
          <w:color w:val="000000" w:themeColor="text1"/>
          <w:sz w:val="32"/>
          <w:szCs w:val="32"/>
          <w:lang w:val="zh-CN"/>
          <w14:textFill>
            <w14:solidFill>
              <w14:schemeClr w14:val="tx1"/>
            </w14:solidFill>
          </w14:textFill>
        </w:rPr>
        <w:fldChar w:fldCharType="end"/>
      </w:r>
    </w:p>
    <w:p>
      <w:pPr>
        <w:spacing w:line="360" w:lineRule="auto"/>
        <w:jc w:val="center"/>
        <w:rPr>
          <w:rFonts w:hint="eastAsia" w:ascii="仿宋_GB2312" w:hAnsi="仿宋_GB2312" w:eastAsia="仿宋_GB2312" w:cs="仿宋_GB2312"/>
          <w:b/>
          <w:bCs/>
          <w:sz w:val="32"/>
          <w:szCs w:val="32"/>
        </w:rPr>
        <w:sectPr>
          <w:headerReference r:id="rId3" w:type="default"/>
          <w:pgSz w:w="11906" w:h="16838"/>
          <w:pgMar w:top="1440" w:right="1797" w:bottom="1440" w:left="1797" w:header="851" w:footer="851" w:gutter="0"/>
          <w:pgNumType w:start="1"/>
          <w:cols w:space="425" w:num="1"/>
          <w:docGrid w:type="lines" w:linePitch="312" w:charSpace="0"/>
        </w:sectPr>
      </w:pPr>
    </w:p>
    <w:p>
      <w:pPr>
        <w:spacing w:line="360" w:lineRule="auto"/>
        <w:jc w:val="center"/>
        <w:rPr>
          <w:rFonts w:ascii="黑体" w:hAnsi="黑体" w:eastAsia="黑体"/>
          <w:b/>
          <w:bCs/>
          <w:sz w:val="36"/>
          <w:szCs w:val="36"/>
        </w:rPr>
      </w:pPr>
      <w:r>
        <w:rPr>
          <w:rFonts w:hint="eastAsia" w:ascii="黑体" w:hAnsi="黑体" w:eastAsia="黑体"/>
          <w:b/>
          <w:bCs/>
          <w:sz w:val="36"/>
          <w:szCs w:val="36"/>
        </w:rPr>
        <w:t>2024年度南京市交通运输局公交企业运营补贴</w:t>
      </w:r>
    </w:p>
    <w:p>
      <w:pPr>
        <w:spacing w:line="360" w:lineRule="auto"/>
        <w:jc w:val="center"/>
        <w:rPr>
          <w:rFonts w:ascii="黑体" w:hAnsi="黑体" w:eastAsia="黑体"/>
          <w:b/>
          <w:bCs/>
          <w:sz w:val="36"/>
          <w:szCs w:val="36"/>
        </w:rPr>
      </w:pPr>
      <w:r>
        <w:rPr>
          <w:rFonts w:hint="eastAsia" w:ascii="黑体" w:hAnsi="黑体" w:eastAsia="黑体"/>
          <w:b/>
          <w:bCs/>
          <w:sz w:val="36"/>
          <w:szCs w:val="36"/>
          <w:lang w:val="en-US" w:eastAsia="zh-CN"/>
        </w:rPr>
        <w:t>专项资金</w:t>
      </w:r>
      <w:r>
        <w:rPr>
          <w:rFonts w:hint="eastAsia" w:ascii="黑体" w:hAnsi="黑体" w:eastAsia="黑体"/>
          <w:b/>
          <w:bCs/>
          <w:sz w:val="36"/>
          <w:szCs w:val="36"/>
        </w:rPr>
        <w:t>绩效自评价报告</w:t>
      </w:r>
    </w:p>
    <w:p>
      <w:pPr>
        <w:spacing w:before="312" w:beforeLines="100" w:line="360" w:lineRule="auto"/>
        <w:ind w:firstLine="640" w:firstLineChars="200"/>
        <w:rPr>
          <w:rFonts w:ascii="仿宋_GB2312" w:eastAsia="仿宋_GB2312"/>
          <w:sz w:val="32"/>
          <w:szCs w:val="32"/>
        </w:rPr>
      </w:pPr>
      <w:r>
        <w:rPr>
          <w:rFonts w:hint="eastAsia" w:ascii="仿宋_GB2312" w:eastAsia="仿宋_GB2312"/>
          <w:sz w:val="32"/>
          <w:szCs w:val="32"/>
        </w:rPr>
        <w:t>为加强对财政资金的跟踪问效管理，提高专项资金使用效率与效益，</w:t>
      </w:r>
      <w:r>
        <w:rPr>
          <w:rFonts w:hint="eastAsia" w:ascii="仿宋_GB2312" w:eastAsia="仿宋_GB2312"/>
          <w:sz w:val="32"/>
          <w:szCs w:val="32"/>
          <w:lang w:val="en-US" w:eastAsia="zh-CN"/>
        </w:rPr>
        <w:t>依据</w:t>
      </w:r>
      <w:r>
        <w:rPr>
          <w:rFonts w:hint="eastAsia" w:ascii="仿宋_GB2312" w:eastAsia="仿宋_GB2312"/>
          <w:sz w:val="32"/>
          <w:szCs w:val="32"/>
        </w:rPr>
        <w:t>《中共南京市委办公厅南京市人民政府办公厅关于印发</w:t>
      </w:r>
      <w:r>
        <w:rPr>
          <w:rFonts w:hint="eastAsia" w:ascii="仿宋_GB2312" w:eastAsia="仿宋_GB2312"/>
          <w:sz w:val="32"/>
          <w:szCs w:val="32"/>
          <w:lang w:val="en-US" w:eastAsia="zh-CN"/>
        </w:rPr>
        <w:t>&lt;</w:t>
      </w:r>
      <w:r>
        <w:rPr>
          <w:rFonts w:hint="eastAsia" w:ascii="仿宋_GB2312" w:eastAsia="仿宋_GB2312"/>
          <w:sz w:val="32"/>
          <w:szCs w:val="32"/>
        </w:rPr>
        <w:t>南京市市级预算绩效管理办法</w:t>
      </w:r>
      <w:r>
        <w:rPr>
          <w:rFonts w:hint="eastAsia" w:ascii="仿宋_GB2312" w:eastAsia="仿宋_GB2312"/>
          <w:sz w:val="32"/>
          <w:szCs w:val="32"/>
          <w:lang w:val="en-US" w:eastAsia="zh-CN"/>
        </w:rPr>
        <w:t>&gt;</w:t>
      </w:r>
      <w:r>
        <w:rPr>
          <w:rFonts w:hint="eastAsia" w:ascii="仿宋_GB2312" w:eastAsia="仿宋_GB2312"/>
          <w:sz w:val="32"/>
          <w:szCs w:val="32"/>
        </w:rPr>
        <w:t>的通知》（宁委办厅字〔2024〕2 号）</w:t>
      </w:r>
      <w:r>
        <w:rPr>
          <w:rFonts w:hint="eastAsia" w:ascii="仿宋_GB2312" w:eastAsia="仿宋_GB2312"/>
          <w:sz w:val="32"/>
          <w:szCs w:val="32"/>
          <w:lang w:eastAsia="zh-CN"/>
        </w:rPr>
        <w:t>、</w:t>
      </w:r>
      <w:r>
        <w:rPr>
          <w:rFonts w:hint="eastAsia" w:ascii="仿宋_GB2312" w:eastAsia="仿宋_GB2312"/>
          <w:sz w:val="32"/>
          <w:szCs w:val="32"/>
        </w:rPr>
        <w:t>《南京市市级财政预算绩效评价操作规程(试行)》(宁财绩〔2020〕260号)和《关于开展2025年度预算绩效信息公开工作的通知》（宁财绩〔2025〕41号）、《关于印发2025年南京市市级预算部门(单位)预算绩效管理责任清单的通知》(宁财绩</w:t>
      </w:r>
      <w:r>
        <w:rPr>
          <w:rFonts w:hint="eastAsia" w:ascii="仿宋_GB2312" w:eastAsia="仿宋_GB2312"/>
          <w:sz w:val="32"/>
          <w:szCs w:val="32"/>
          <w:highlight w:val="none"/>
          <w:lang w:eastAsia="zh-CN"/>
        </w:rPr>
        <w:t>〔2025</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106</w:t>
      </w:r>
      <w:r>
        <w:rPr>
          <w:rFonts w:hint="eastAsia" w:ascii="仿宋_GB2312" w:eastAsia="仿宋_GB2312"/>
          <w:sz w:val="32"/>
          <w:szCs w:val="32"/>
          <w:highlight w:val="none"/>
        </w:rPr>
        <w:t>号</w:t>
      </w:r>
      <w:r>
        <w:rPr>
          <w:rFonts w:hint="eastAsia" w:ascii="仿宋_GB2312" w:eastAsia="仿宋_GB2312"/>
          <w:sz w:val="32"/>
          <w:szCs w:val="32"/>
        </w:rPr>
        <w:t>)等相关文件要求，南京市交通运输局开展了202</w:t>
      </w:r>
      <w:r>
        <w:rPr>
          <w:rFonts w:hint="eastAsia" w:ascii="仿宋_GB2312" w:eastAsia="仿宋_GB2312"/>
          <w:sz w:val="32"/>
          <w:szCs w:val="32"/>
          <w:lang w:val="en-US" w:eastAsia="zh-CN"/>
        </w:rPr>
        <w:t>4</w:t>
      </w:r>
      <w:r>
        <w:rPr>
          <w:rFonts w:hint="eastAsia" w:ascii="仿宋_GB2312" w:eastAsia="仿宋_GB2312"/>
          <w:sz w:val="32"/>
          <w:szCs w:val="32"/>
        </w:rPr>
        <w:t>年度南京市公交企业运营补贴</w:t>
      </w:r>
      <w:r>
        <w:rPr>
          <w:rFonts w:hint="eastAsia" w:ascii="仿宋_GB2312" w:eastAsia="仿宋_GB2312"/>
          <w:sz w:val="32"/>
          <w:szCs w:val="32"/>
          <w:lang w:val="en-US" w:eastAsia="zh-CN"/>
        </w:rPr>
        <w:t>专项资金</w:t>
      </w:r>
      <w:r>
        <w:rPr>
          <w:rFonts w:hint="eastAsia" w:ascii="仿宋_GB2312" w:eastAsia="仿宋_GB2312"/>
          <w:sz w:val="32"/>
          <w:szCs w:val="32"/>
        </w:rPr>
        <w:t>绩效自评价工作，现将绩效自评价情况报告如下：</w:t>
      </w:r>
    </w:p>
    <w:p>
      <w:pPr>
        <w:spacing w:line="360" w:lineRule="auto"/>
        <w:ind w:firstLine="640" w:firstLineChars="200"/>
        <w:outlineLvl w:val="0"/>
        <w:rPr>
          <w:rFonts w:ascii="黑体" w:hAnsi="黑体" w:eastAsia="黑体"/>
          <w:sz w:val="32"/>
          <w:szCs w:val="32"/>
        </w:rPr>
      </w:pPr>
      <w:bookmarkStart w:id="4" w:name="_Toc31881"/>
      <w:r>
        <w:rPr>
          <w:rFonts w:hint="eastAsia" w:ascii="黑体" w:hAnsi="黑体" w:eastAsia="黑体"/>
          <w:sz w:val="32"/>
          <w:szCs w:val="32"/>
        </w:rPr>
        <w:t>一、</w:t>
      </w:r>
      <w:r>
        <w:rPr>
          <w:rFonts w:hint="eastAsia" w:ascii="黑体" w:hAnsi="黑体" w:eastAsia="黑体"/>
          <w:sz w:val="32"/>
          <w:szCs w:val="32"/>
          <w:lang w:val="en-US" w:eastAsia="zh-CN"/>
        </w:rPr>
        <w:t>项目</w:t>
      </w:r>
      <w:r>
        <w:rPr>
          <w:rFonts w:hint="eastAsia" w:ascii="黑体" w:hAnsi="黑体" w:eastAsia="黑体"/>
          <w:sz w:val="32"/>
          <w:szCs w:val="32"/>
        </w:rPr>
        <w:t>概况</w:t>
      </w:r>
      <w:bookmarkEnd w:id="4"/>
    </w:p>
    <w:p>
      <w:pPr>
        <w:pStyle w:val="3"/>
        <w:spacing w:before="0" w:after="0" w:line="240" w:lineRule="auto"/>
        <w:ind w:firstLine="640" w:firstLineChars="200"/>
        <w:rPr>
          <w:rFonts w:ascii="楷体" w:hAnsi="楷体" w:eastAsia="楷体" w:cs="楷体"/>
          <w:b w:val="0"/>
          <w:bCs/>
        </w:rPr>
      </w:pPr>
      <w:bookmarkStart w:id="5" w:name="_Toc15143"/>
      <w:bookmarkStart w:id="6" w:name="_Hlk112050674"/>
      <w:r>
        <w:rPr>
          <w:rFonts w:hint="eastAsia" w:ascii="楷体" w:hAnsi="楷体" w:eastAsia="楷体" w:cs="楷体"/>
          <w:b w:val="0"/>
          <w:bCs/>
        </w:rPr>
        <w:t>（一）</w:t>
      </w:r>
      <w:r>
        <w:rPr>
          <w:rFonts w:hint="eastAsia" w:ascii="楷体" w:hAnsi="楷体" w:eastAsia="楷体" w:cs="楷体"/>
          <w:b w:val="0"/>
          <w:bCs/>
          <w:lang w:val="en-US" w:eastAsia="zh-CN"/>
        </w:rPr>
        <w:t>项目</w:t>
      </w:r>
      <w:r>
        <w:rPr>
          <w:rFonts w:hint="eastAsia" w:ascii="楷体" w:hAnsi="楷体" w:eastAsia="楷体" w:cs="楷体"/>
          <w:b w:val="0"/>
          <w:bCs/>
        </w:rPr>
        <w:t>基本情况</w:t>
      </w:r>
      <w:bookmarkEnd w:id="5"/>
    </w:p>
    <w:bookmarkEnd w:id="6"/>
    <w:p>
      <w:pPr>
        <w:spacing w:line="360" w:lineRule="auto"/>
        <w:ind w:firstLine="643" w:firstLineChars="200"/>
        <w:rPr>
          <w:rFonts w:ascii="仿宋_GB2312" w:eastAsia="仿宋_GB2312"/>
          <w:b/>
          <w:bCs/>
          <w:sz w:val="32"/>
          <w:szCs w:val="32"/>
          <w:highlight w:val="none"/>
        </w:rPr>
      </w:pPr>
      <w:r>
        <w:rPr>
          <w:rFonts w:hint="eastAsia" w:ascii="仿宋_GB2312" w:eastAsia="仿宋_GB2312"/>
          <w:b/>
          <w:bCs/>
          <w:sz w:val="32"/>
          <w:szCs w:val="32"/>
          <w:highlight w:val="none"/>
        </w:rPr>
        <w:t>1</w:t>
      </w:r>
      <w:r>
        <w:rPr>
          <w:rFonts w:ascii="仿宋_GB2312" w:eastAsia="仿宋_GB2312"/>
          <w:b/>
          <w:bCs/>
          <w:sz w:val="32"/>
          <w:szCs w:val="32"/>
          <w:highlight w:val="none"/>
        </w:rPr>
        <w:t>.</w:t>
      </w:r>
      <w:r>
        <w:rPr>
          <w:rFonts w:hint="eastAsia" w:ascii="仿宋_GB2312" w:eastAsia="仿宋_GB2312"/>
          <w:b/>
          <w:bCs/>
          <w:sz w:val="32"/>
          <w:szCs w:val="32"/>
          <w:highlight w:val="none"/>
          <w:lang w:val="en-US" w:eastAsia="zh-CN"/>
        </w:rPr>
        <w:t>项目</w:t>
      </w:r>
      <w:r>
        <w:rPr>
          <w:rFonts w:hint="eastAsia" w:ascii="仿宋_GB2312" w:hAnsi="宋体" w:eastAsia="仿宋_GB2312" w:cs="宋体"/>
          <w:b/>
          <w:bCs/>
          <w:color w:val="000000"/>
          <w:kern w:val="0"/>
          <w:sz w:val="32"/>
          <w:szCs w:val="32"/>
          <w:highlight w:val="none"/>
        </w:rPr>
        <w:t>背景</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城市公共交通具有集约高效、节能环保等优点，优先发展公共交通是缓解交通拥堵、转变城市交通发展方式、提升人民群众生活品质、提高政府基本公共服务水平的必然要求，是构建资源节约型、环境友好型社会的战略选择。为实施城市公共交通优先发展战略，国务院于2012年印发的《国务院关于城市优先发展公共交通的指导意见》（国发〔2012〕64号）中提出“深入贯彻落实科学发展观，加快转变城市交通发展方式，突出城市公共交通的公益属性，将公共交通发展放在城市交通发展的首要位置，着力提升城市公共交通保障水平……合理界定补贴补偿范围，对实行低票价、减免票、承担政府指令性任务等形成的政策性亏损，对企业在技术改造、节能减排、经营冷僻线路等方面的投入，地方财政给予适当补贴补偿。建立公共交通企业职工工资收入正常增长机制。”</w:t>
      </w:r>
    </w:p>
    <w:p>
      <w:p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rPr>
        <w:t>公交企业运营补贴是实施公交优先政策的重要经济手段，是公交行业发展财政预算管理的基础，是科学实施公交财政补贴、开展运价调节的关键环节，是对企业经营者管理水平的考核依据，是政府对公交事业扶持政策的重要凭证。南京市委市政府高度重视“公交都市”建设，通过加大公共交通投入力度，整合公共交通资源，推进公交基础设施建设，优化调整公交线路，出台公交惠民政策等一系列举措。“十三五”期间，南京市被交通运输部批准为国家“公交都市”建设示范工程第一批创建城市，公共交通服务水平和人民群众满意度明显提升。“十四五”期间是南京建设交通强国先进示范市、开启交通运输现代化的起步期，是综合交通运输体系建设向更高形态进阶的加速期。</w:t>
      </w:r>
    </w:p>
    <w:p>
      <w:pPr>
        <w:spacing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为</w:t>
      </w:r>
      <w:r>
        <w:rPr>
          <w:rFonts w:hint="eastAsia" w:ascii="仿宋_GB2312" w:eastAsia="仿宋_GB2312"/>
          <w:sz w:val="32"/>
          <w:szCs w:val="32"/>
        </w:rPr>
        <w:t>深入实施城市公共交通优先发展战略，进一步巩固我市国家公交都市和绿色出行城市创建成效，践行绿色发展理念，倡导低碳生活方式，推动城市公共交通高质量发展，更好满足公众基本出行需求</w:t>
      </w:r>
      <w:r>
        <w:rPr>
          <w:rFonts w:hint="eastAsia" w:ascii="仿宋_GB2312" w:eastAsia="仿宋_GB2312"/>
          <w:sz w:val="32"/>
          <w:szCs w:val="32"/>
          <w:lang w:eastAsia="zh-CN"/>
        </w:rPr>
        <w:t>，</w:t>
      </w:r>
      <w:r>
        <w:rPr>
          <w:rFonts w:hint="eastAsia" w:ascii="仿宋_GB2312" w:eastAsia="仿宋_GB2312"/>
          <w:sz w:val="32"/>
          <w:szCs w:val="32"/>
        </w:rPr>
        <w:t>从根本上缓解交通拥堵、出行不便、环境污染等矛盾</w:t>
      </w:r>
      <w:r>
        <w:rPr>
          <w:rFonts w:hint="eastAsia" w:ascii="仿宋_GB2312" w:eastAsia="仿宋_GB2312"/>
          <w:sz w:val="32"/>
          <w:szCs w:val="32"/>
          <w:lang w:eastAsia="zh-CN"/>
        </w:rPr>
        <w:t>，2013年7月，南京市政府印发了《市政府办公厅关于转发市财政局市交通运输局南京市公共汽车经营企业财政综合补贴资金管理办法的通知》（宁政办发〔2013〕86号）、《市政府办公厅关于转发市交通运输局市财政局南京市公共汽车经营企业成本规制管理办法的通知》（宁政办发〔2013〕89号），自2013年至2017年，南京公交企业实行成本规制，通过引入第三方审计制度，建立全市公交行业的规制成本，合理界定公交行业成本范围，科学测算、审核和评价公交企业经营状况，对公交企业向社会提供公共服务实行合理补贴补偿。</w:t>
      </w:r>
    </w:p>
    <w:p>
      <w:pPr>
        <w:pStyle w:val="4"/>
        <w:ind w:left="0" w:leftChars="0" w:firstLine="640" w:firstLineChars="200"/>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2017年2月，为完善公交企业成本规制财政补贴制度，促进公交企业加强经营管理，提高财政补贴资金使用效果，南京市政府发布了《南京市人民政府办公厅转发市财政局关于完善公交企业成本规制财政补贴实施方案的通知》（宁政办发〔2017〕31号），该方案从2017年起施行，期限为三年。</w:t>
      </w:r>
    </w:p>
    <w:p>
      <w:pPr>
        <w:pStyle w:val="4"/>
        <w:ind w:left="0" w:leftChars="0" w:firstLine="643" w:firstLineChars="200"/>
        <w:rPr>
          <w:highlight w:val="none"/>
        </w:rPr>
      </w:pPr>
      <w:r>
        <w:rPr>
          <w:rFonts w:hint="eastAsia" w:ascii="仿宋_GB2312" w:eastAsia="仿宋_GB2312"/>
          <w:b/>
          <w:bCs/>
          <w:sz w:val="32"/>
          <w:szCs w:val="32"/>
          <w:highlight w:val="none"/>
          <w:lang w:val="en-US" w:eastAsia="zh-CN"/>
        </w:rPr>
        <w:t>2</w:t>
      </w:r>
      <w:r>
        <w:rPr>
          <w:rFonts w:ascii="仿宋_GB2312" w:eastAsia="仿宋_GB2312"/>
          <w:b/>
          <w:bCs/>
          <w:sz w:val="32"/>
          <w:szCs w:val="32"/>
          <w:highlight w:val="none"/>
        </w:rPr>
        <w:t>.</w:t>
      </w:r>
      <w:r>
        <w:rPr>
          <w:rFonts w:hint="eastAsia" w:ascii="仿宋_GB2312" w:eastAsia="仿宋_GB2312"/>
          <w:b/>
          <w:bCs/>
          <w:sz w:val="32"/>
          <w:szCs w:val="32"/>
          <w:highlight w:val="none"/>
          <w:lang w:val="en-US" w:eastAsia="zh-CN"/>
        </w:rPr>
        <w:t>立项依据和项目</w:t>
      </w:r>
      <w:r>
        <w:rPr>
          <w:rFonts w:hint="eastAsia" w:ascii="仿宋_GB2312" w:hAnsi="宋体" w:eastAsia="仿宋_GB2312" w:cs="宋体"/>
          <w:b/>
          <w:bCs/>
          <w:color w:val="000000"/>
          <w:kern w:val="0"/>
          <w:sz w:val="32"/>
          <w:szCs w:val="32"/>
          <w:highlight w:val="none"/>
          <w:lang w:val="en-US" w:eastAsia="zh-CN"/>
        </w:rPr>
        <w:t>内容</w:t>
      </w:r>
    </w:p>
    <w:p>
      <w:pPr>
        <w:spacing w:line="360" w:lineRule="auto"/>
        <w:ind w:firstLine="640" w:firstLineChars="200"/>
        <w:rPr>
          <w:rFonts w:hint="eastAsia" w:ascii="仿宋_GB2312" w:eastAsia="仿宋_GB2312"/>
          <w:b w:val="0"/>
          <w:bCs w:val="0"/>
          <w:sz w:val="32"/>
          <w:szCs w:val="32"/>
          <w:highlight w:val="none"/>
          <w:lang w:val="en-US" w:eastAsia="zh-CN"/>
        </w:rPr>
      </w:pPr>
      <w:r>
        <w:rPr>
          <w:rFonts w:hint="eastAsia" w:ascii="仿宋_GB2312" w:eastAsia="仿宋_GB2312"/>
          <w:sz w:val="32"/>
          <w:szCs w:val="32"/>
          <w:lang w:val="en-US" w:eastAsia="zh-CN"/>
        </w:rPr>
        <w:t>根据</w:t>
      </w:r>
      <w:r>
        <w:rPr>
          <w:rFonts w:hint="eastAsia" w:ascii="仿宋_GB2312" w:eastAsia="仿宋_GB2312"/>
          <w:b w:val="0"/>
          <w:bCs w:val="0"/>
          <w:sz w:val="32"/>
          <w:szCs w:val="32"/>
          <w:highlight w:val="none"/>
          <w:lang w:val="en-US" w:eastAsia="zh-CN"/>
        </w:rPr>
        <w:t>《南京市人民政府办公厅转发市财政局关于完善公交企业成本规制财政补贴实施方案的通知》（宁政办发〔2017〕31号），公交企业运营补贴以成本规制财政补贴为基础，厘清政府与企业的责任界限政策性亏损由政府承担、经营性亏损由企业承担，激励企业以降低成本为核心，加强经营管理，增收节支，积极寻求兼顾公益性和企业效益的改善措施，促进公交企业从规模扩张为主的外延式发展，向以提高效率和质量为主导的内涵式发展转变建立公交企业可持续发展的经营模式。</w:t>
      </w:r>
    </w:p>
    <w:p>
      <w:pPr>
        <w:spacing w:line="360" w:lineRule="auto"/>
        <w:ind w:firstLine="640" w:firstLineChars="200"/>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文件提出：①调整补贴管理方式。将原实行的公交企业向社会提供公共服务的财政补贴由市统一审计管理方式调整为原则上市、区分级审计管理，即公交集团、江南公交财政补贴由市审计测算，扬子公交、东山公交财政补贴分别由江北三区（包括江北新区、浦口区、六合区，以下同）、江宁区审计测算，或委托市组织各区共同审计测算。分级审计管理体现事权与财权相统一，促进各区加强公交企业经营管理，保障补贴资金及时到位。②调整市区财政补贴分担办法。公交集团作为江南公交、扬子公交两公司的管理机构，其财政补贴由原市级全额承担，调整为按两公司车辆规模由市区分摊，即属于江南公交分摊的补贴由市级财政承担，属于扬子公交分摊的补贴由市与江北三区财政按2∶8比例分担。将东山公交、扬子公交财政补贴按市区2∶8分担方式，调整为按2016年市对东山公交、扬子公交实际补贴数，实行定额包干，今后不再增减。③调整财政补贴核定方式。以成本规制为基础，对公交集团、江南公交实行“定额补贴”加“单项补贴”的财政补贴核定方式。定额补贴：以2015年度企业经营审计结果，测算2016年成本规制财政综合补贴金额为基数，扣除单项补贴金额后进行核定。定额补贴主要是保障公交企业在现有规模上正常运营，包括人工费用、车辆运行费用、财务费用等，其中每年在核定的定额补贴金额中提取30%，作为考核补贴，与考核结果挂钩。</w:t>
      </w:r>
    </w:p>
    <w:p>
      <w:pPr>
        <w:spacing w:line="360" w:lineRule="auto"/>
        <w:ind w:firstLine="640" w:firstLineChars="200"/>
        <w:rPr>
          <w:rFonts w:hint="eastAsia" w:ascii="仿宋_GB2312" w:eastAsia="仿宋_GB2312"/>
          <w:sz w:val="32"/>
          <w:szCs w:val="32"/>
          <w:lang w:eastAsia="zh-CN"/>
        </w:rPr>
      </w:pPr>
      <w:r>
        <w:rPr>
          <w:rFonts w:hint="eastAsia" w:ascii="仿宋_GB2312" w:eastAsia="仿宋_GB2312"/>
          <w:b w:val="0"/>
          <w:bCs w:val="0"/>
          <w:sz w:val="32"/>
          <w:szCs w:val="32"/>
          <w:highlight w:val="none"/>
          <w:lang w:val="en-US" w:eastAsia="zh-CN"/>
        </w:rPr>
        <w:t>公交企业成本规制财政补贴实施方案实施三年期满后，根据2019年第19号市长办公会议纪要精神，为支持推进公交集团体制机制改革，做优公益、做强市场，提升公交服务水平，进一步发挥财政资金导向作用，提高资金使用绩效, 在前两轮公交成本规制财政补贴政策的基础上，对公交集团及所属公交企业采用财政综合补贴的方式，建立年度财政补贴额与增收、降本改革行动计划相挂钩机制，促进公交企业改革目标实现。</w:t>
      </w:r>
    </w:p>
    <w:p>
      <w:pPr>
        <w:spacing w:line="360" w:lineRule="auto"/>
        <w:ind w:firstLine="640" w:firstLineChars="200"/>
        <w:rPr>
          <w:rFonts w:hint="default"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项目完成情况：2024年公交集团所属公交企业、东山公交合计总行驶里程37,419.97万公里，营运线路总长度11,037.20公里，客运总人次48,369.06万人次，营运线路693条，营运公交车6822辆。2024年万人公共交通车辆保有量达16标台/万人，中心城区建成区内公共交通站点500米覆盖率约为100%，公共汽电车线路网比率为62%，城乡客运线路公交化运营比率达100%，公共汽电车责任事故死亡率＜0.045人/百万公里，公交线路持续优化，社会公众公共出行体验得到有效改善，绿色出行意识有效提升。</w:t>
      </w:r>
    </w:p>
    <w:p>
      <w:pPr>
        <w:pStyle w:val="3"/>
        <w:spacing w:before="0" w:after="0" w:line="240" w:lineRule="auto"/>
        <w:ind w:firstLine="640" w:firstLineChars="200"/>
        <w:rPr>
          <w:rFonts w:hint="default" w:ascii="楷体" w:hAnsi="楷体" w:eastAsia="楷体" w:cs="楷体"/>
          <w:b w:val="0"/>
          <w:bCs/>
          <w:lang w:val="en-US" w:eastAsia="zh-CN"/>
        </w:rPr>
      </w:pPr>
      <w:bookmarkStart w:id="7" w:name="_Toc30012"/>
      <w:r>
        <w:rPr>
          <w:rFonts w:hint="eastAsia" w:ascii="楷体" w:hAnsi="楷体" w:eastAsia="楷体" w:cs="楷体"/>
          <w:b w:val="0"/>
          <w:bCs/>
          <w:lang w:eastAsia="zh-CN"/>
        </w:rPr>
        <w:t>（</w:t>
      </w:r>
      <w:r>
        <w:rPr>
          <w:rFonts w:hint="eastAsia" w:ascii="楷体" w:hAnsi="楷体" w:eastAsia="楷体" w:cs="楷体"/>
          <w:b w:val="0"/>
          <w:bCs/>
          <w:lang w:val="en-US" w:eastAsia="zh-CN"/>
        </w:rPr>
        <w:t>二</w:t>
      </w:r>
      <w:r>
        <w:rPr>
          <w:rFonts w:hint="eastAsia" w:ascii="楷体" w:hAnsi="楷体" w:eastAsia="楷体" w:cs="楷体"/>
          <w:b w:val="0"/>
          <w:bCs/>
          <w:lang w:eastAsia="zh-CN"/>
        </w:rPr>
        <w:t>）</w:t>
      </w:r>
      <w:r>
        <w:rPr>
          <w:rFonts w:hint="eastAsia" w:ascii="楷体" w:hAnsi="楷体" w:eastAsia="楷体" w:cs="楷体"/>
          <w:b w:val="0"/>
          <w:bCs/>
          <w:lang w:val="en-US" w:eastAsia="zh-CN"/>
        </w:rPr>
        <w:t>项目资金情况</w:t>
      </w:r>
      <w:bookmarkEnd w:id="7"/>
    </w:p>
    <w:p>
      <w:pPr>
        <w:spacing w:line="360" w:lineRule="auto"/>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1.项目资金来源及预算情况</w:t>
      </w:r>
    </w:p>
    <w:p>
      <w:pPr>
        <w:spacing w:line="360" w:lineRule="auto"/>
        <w:ind w:firstLine="640" w:firstLineChars="200"/>
        <w:rPr>
          <w:rFonts w:ascii="仿宋_GB2312" w:eastAsia="仿宋_GB2312"/>
          <w:b/>
          <w:bCs/>
          <w:sz w:val="32"/>
          <w:szCs w:val="32"/>
        </w:rPr>
      </w:pPr>
      <w:r>
        <w:rPr>
          <w:rFonts w:hint="eastAsia" w:ascii="仿宋_GB2312" w:eastAsia="仿宋_GB2312"/>
          <w:sz w:val="32"/>
          <w:szCs w:val="32"/>
        </w:rPr>
        <w:t>2024年</w:t>
      </w:r>
      <w:r>
        <w:rPr>
          <w:rFonts w:hint="eastAsia" w:ascii="仿宋_GB2312" w:eastAsia="仿宋_GB2312"/>
          <w:sz w:val="32"/>
          <w:szCs w:val="32"/>
          <w:lang w:val="en-US" w:eastAsia="zh-CN"/>
        </w:rPr>
        <w:t>南京</w:t>
      </w:r>
      <w:r>
        <w:rPr>
          <w:rFonts w:hint="eastAsia" w:ascii="仿宋_GB2312" w:eastAsia="仿宋_GB2312"/>
          <w:sz w:val="32"/>
          <w:szCs w:val="32"/>
        </w:rPr>
        <w:t>市公交企业运营补贴专项资金全部来源于市本级财政投入，主要用于</w:t>
      </w:r>
      <w:r>
        <w:rPr>
          <w:rFonts w:hint="eastAsia" w:ascii="仿宋_GB2312" w:eastAsia="仿宋_GB2312"/>
          <w:sz w:val="32"/>
          <w:szCs w:val="32"/>
          <w:lang w:val="en-US" w:eastAsia="zh-CN"/>
        </w:rPr>
        <w:t>公交企业运营和公交可持续性发展，具体用于为</w:t>
      </w:r>
      <w:r>
        <w:rPr>
          <w:rFonts w:hint="eastAsia" w:ascii="仿宋_GB2312" w:eastAsia="仿宋_GB2312"/>
          <w:sz w:val="32"/>
          <w:szCs w:val="32"/>
          <w:highlight w:val="none"/>
          <w:lang w:val="en-US" w:eastAsia="zh-CN"/>
        </w:rPr>
        <w:t>南京公共交通（集团）有限公司（以下简称“公交集团”）、南</w:t>
      </w:r>
      <w:r>
        <w:rPr>
          <w:rFonts w:hint="eastAsia" w:ascii="仿宋_GB2312" w:eastAsia="仿宋_GB2312"/>
          <w:sz w:val="32"/>
          <w:szCs w:val="32"/>
          <w:lang w:val="en-US" w:eastAsia="zh-CN"/>
        </w:rPr>
        <w:t>京江北新区公交客运有限公司（以下简称“江北新区公交”）、南京扬子浦口公交客运有限公司（以下简称“浦口公交”）、南京扬子公交六合客运有限公司（以下简称“六合公交”）、南京东山公交客运有限公司（以下简称“东山公交”）企业运营和公交可持续性发展等。</w:t>
      </w:r>
    </w:p>
    <w:p>
      <w:pPr>
        <w:spacing w:line="360" w:lineRule="auto"/>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2024年度南京市公交企业运营补贴专项资金市级预算安排金额为185,911.00万元，预算调减24,982.00万元，预算调整后市级资金为160,929.00万元。</w:t>
      </w:r>
    </w:p>
    <w:p>
      <w:pPr>
        <w:spacing w:line="360" w:lineRule="auto"/>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2.项目资金预算执行和使用情况</w:t>
      </w:r>
    </w:p>
    <w:p>
      <w:pPr>
        <w:spacing w:line="360" w:lineRule="auto"/>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2024年度南京市公交企业运营补贴专项资金调整后市级预算资金为160,929.00万元，实际下拨市级预算资金160,929.00万元，预算执行率为100%。项目资金实际支出160,929.00万元，资金使用率为100.00%。具体情况详见下表一。</w:t>
      </w:r>
    </w:p>
    <w:p>
      <w:pPr>
        <w:spacing w:line="360" w:lineRule="auto"/>
        <w:ind w:firstLine="562" w:firstLineChars="200"/>
        <w:jc w:val="both"/>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表一：南京市公交企业运营补贴专项资金预算安排及执行情况表</w:t>
      </w:r>
    </w:p>
    <w:p>
      <w:pPr>
        <w:spacing w:line="360" w:lineRule="auto"/>
        <w:ind w:firstLine="480" w:firstLineChars="200"/>
        <w:jc w:val="right"/>
        <w:rPr>
          <w:rFonts w:hint="default" w:ascii="仿宋_GB2312" w:eastAsia="仿宋_GB2312"/>
          <w:b w:val="0"/>
          <w:bCs w:val="0"/>
          <w:sz w:val="28"/>
          <w:szCs w:val="28"/>
          <w:lang w:val="en-US" w:eastAsia="zh-CN"/>
        </w:rPr>
      </w:pPr>
      <w:r>
        <w:rPr>
          <w:rFonts w:hint="eastAsia" w:ascii="仿宋_GB2312" w:eastAsia="仿宋_GB2312"/>
          <w:b w:val="0"/>
          <w:bCs w:val="0"/>
          <w:sz w:val="24"/>
          <w:szCs w:val="24"/>
          <w:lang w:val="en-US" w:eastAsia="zh-CN"/>
        </w:rPr>
        <w:t>单位：万元</w:t>
      </w:r>
    </w:p>
    <w:tbl>
      <w:tblPr>
        <w:tblStyle w:val="10"/>
        <w:tblW w:w="8778" w:type="dxa"/>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1622"/>
        <w:gridCol w:w="1482"/>
        <w:gridCol w:w="1371"/>
        <w:gridCol w:w="1415"/>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08" w:type="dxa"/>
          </w:tcPr>
          <w:p>
            <w:pPr>
              <w:spacing w:line="360" w:lineRule="auto"/>
              <w:jc w:val="center"/>
              <w:rPr>
                <w:rFonts w:hint="eastAsia" w:ascii="仿宋_GB2312" w:eastAsia="仿宋_GB2312"/>
                <w:b/>
                <w:bCs/>
                <w:sz w:val="21"/>
                <w:szCs w:val="21"/>
              </w:rPr>
            </w:pPr>
            <w:r>
              <w:rPr>
                <w:rFonts w:hint="eastAsia" w:ascii="仿宋_GB2312" w:eastAsia="仿宋_GB2312"/>
                <w:b/>
                <w:bCs/>
                <w:sz w:val="21"/>
                <w:szCs w:val="21"/>
              </w:rPr>
              <w:t>单位名称</w:t>
            </w:r>
          </w:p>
        </w:tc>
        <w:tc>
          <w:tcPr>
            <w:tcW w:w="1622" w:type="dxa"/>
          </w:tcPr>
          <w:p>
            <w:pPr>
              <w:spacing w:line="360" w:lineRule="auto"/>
              <w:jc w:val="center"/>
              <w:rPr>
                <w:rFonts w:hint="eastAsia" w:ascii="仿宋_GB2312" w:eastAsia="仿宋_GB2312"/>
                <w:b/>
                <w:bCs/>
                <w:sz w:val="21"/>
                <w:szCs w:val="21"/>
                <w:lang w:eastAsia="zh-CN"/>
              </w:rPr>
            </w:pPr>
            <w:r>
              <w:rPr>
                <w:rFonts w:hint="eastAsia" w:ascii="仿宋_GB2312" w:eastAsia="仿宋_GB2312"/>
                <w:b/>
                <w:bCs/>
                <w:sz w:val="21"/>
                <w:szCs w:val="21"/>
                <w:lang w:val="en-US" w:eastAsia="zh-CN"/>
              </w:rPr>
              <w:t>调整后</w:t>
            </w:r>
            <w:r>
              <w:rPr>
                <w:rFonts w:hint="eastAsia" w:ascii="仿宋_GB2312" w:eastAsia="仿宋_GB2312"/>
                <w:b/>
                <w:bCs/>
                <w:sz w:val="21"/>
                <w:szCs w:val="21"/>
              </w:rPr>
              <w:t>预算</w:t>
            </w:r>
            <w:r>
              <w:rPr>
                <w:rFonts w:hint="eastAsia" w:ascii="仿宋_GB2312" w:eastAsia="仿宋_GB2312"/>
                <w:b/>
                <w:bCs/>
                <w:sz w:val="21"/>
                <w:szCs w:val="21"/>
                <w:lang w:val="en-US" w:eastAsia="zh-CN"/>
              </w:rPr>
              <w:t>数</w:t>
            </w:r>
          </w:p>
        </w:tc>
        <w:tc>
          <w:tcPr>
            <w:tcW w:w="1482" w:type="dxa"/>
            <w:vAlign w:val="center"/>
          </w:tcPr>
          <w:p>
            <w:pPr>
              <w:keepNext w:val="0"/>
              <w:keepLines w:val="0"/>
              <w:widowControl/>
              <w:suppressLineNumbers w:val="0"/>
              <w:jc w:val="center"/>
              <w:textAlignment w:val="center"/>
              <w:rPr>
                <w:rFonts w:hint="eastAsia" w:ascii="仿宋_GB2312" w:eastAsia="仿宋_GB2312"/>
                <w:b/>
                <w:bCs/>
                <w:sz w:val="21"/>
                <w:szCs w:val="21"/>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实际下达数</w:t>
            </w:r>
          </w:p>
        </w:tc>
        <w:tc>
          <w:tcPr>
            <w:tcW w:w="1371" w:type="dxa"/>
            <w:vAlign w:val="center"/>
          </w:tcPr>
          <w:p>
            <w:pPr>
              <w:keepNext w:val="0"/>
              <w:keepLines w:val="0"/>
              <w:widowControl/>
              <w:suppressLineNumbers w:val="0"/>
              <w:jc w:val="center"/>
              <w:textAlignment w:val="center"/>
              <w:rPr>
                <w:rFonts w:hint="eastAsia" w:ascii="仿宋_GB2312" w:eastAsia="仿宋_GB2312"/>
                <w:b/>
                <w:bCs/>
                <w:sz w:val="21"/>
                <w:szCs w:val="21"/>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预算执行率</w:t>
            </w:r>
          </w:p>
        </w:tc>
        <w:tc>
          <w:tcPr>
            <w:tcW w:w="1415" w:type="dxa"/>
            <w:vAlign w:val="center"/>
          </w:tcPr>
          <w:p>
            <w:pPr>
              <w:keepNext w:val="0"/>
              <w:keepLines w:val="0"/>
              <w:widowControl/>
              <w:suppressLineNumbers w:val="0"/>
              <w:jc w:val="center"/>
              <w:textAlignment w:val="center"/>
              <w:rPr>
                <w:rFonts w:hint="eastAsia" w:ascii="仿宋_GB2312" w:eastAsia="仿宋_GB2312"/>
                <w:b/>
                <w:bCs/>
                <w:sz w:val="21"/>
                <w:szCs w:val="21"/>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实际支出数</w:t>
            </w:r>
          </w:p>
        </w:tc>
        <w:tc>
          <w:tcPr>
            <w:tcW w:w="1380" w:type="dxa"/>
            <w:vAlign w:val="center"/>
          </w:tcPr>
          <w:p>
            <w:pPr>
              <w:keepNext w:val="0"/>
              <w:keepLines w:val="0"/>
              <w:widowControl/>
              <w:suppressLineNumbers w:val="0"/>
              <w:jc w:val="center"/>
              <w:textAlignment w:val="center"/>
              <w:rPr>
                <w:rFonts w:hint="eastAsia" w:ascii="仿宋_GB2312" w:eastAsia="仿宋_GB2312"/>
                <w:b/>
                <w:bCs/>
                <w:sz w:val="21"/>
                <w:szCs w:val="21"/>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资金使用率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vAlign w:val="center"/>
          </w:tcPr>
          <w:p>
            <w:pPr>
              <w:widowControl/>
              <w:jc w:val="center"/>
              <w:textAlignment w:val="top"/>
              <w:rPr>
                <w:rFonts w:hint="eastAsia" w:ascii="仿宋_GB2312" w:hAnsi="宋体" w:eastAsia="仿宋_GB2312" w:cs="仿宋_GB2312"/>
                <w:color w:val="000000"/>
                <w:kern w:val="0"/>
                <w:sz w:val="21"/>
                <w:szCs w:val="21"/>
                <w:lang w:bidi="ar"/>
              </w:rPr>
            </w:pPr>
            <w:r>
              <w:rPr>
                <w:rFonts w:hint="eastAsia" w:ascii="仿宋_GB2312" w:hAnsi="宋体" w:eastAsia="仿宋_GB2312" w:cs="仿宋_GB2312"/>
                <w:color w:val="000000"/>
                <w:kern w:val="0"/>
                <w:sz w:val="21"/>
                <w:szCs w:val="21"/>
                <w:lang w:bidi="ar"/>
              </w:rPr>
              <w:t>公交集团</w:t>
            </w:r>
          </w:p>
        </w:tc>
        <w:tc>
          <w:tcPr>
            <w:tcW w:w="1622" w:type="dxa"/>
            <w:vAlign w:val="center"/>
          </w:tcPr>
          <w:p>
            <w:pPr>
              <w:widowControl/>
              <w:jc w:val="center"/>
              <w:textAlignment w:val="center"/>
              <w:rPr>
                <w:rFonts w:hint="eastAsia"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 xml:space="preserve"> 144,189.00 </w:t>
            </w:r>
          </w:p>
        </w:tc>
        <w:tc>
          <w:tcPr>
            <w:tcW w:w="1482" w:type="dxa"/>
            <w:vAlign w:val="center"/>
          </w:tcPr>
          <w:p>
            <w:pPr>
              <w:widowControl/>
              <w:jc w:val="center"/>
              <w:textAlignment w:val="center"/>
              <w:rPr>
                <w:rFonts w:hint="eastAsia"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 xml:space="preserve"> 144,189.00 </w:t>
            </w:r>
          </w:p>
        </w:tc>
        <w:tc>
          <w:tcPr>
            <w:tcW w:w="1371" w:type="dxa"/>
            <w:vAlign w:val="center"/>
          </w:tcPr>
          <w:p>
            <w:pPr>
              <w:widowControl/>
              <w:jc w:val="center"/>
              <w:textAlignment w:val="center"/>
              <w:rPr>
                <w:rFonts w:hint="default" w:ascii="仿宋_GB2312" w:hAnsi="宋体" w:eastAsia="仿宋_GB2312" w:cs="宋体"/>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100.00%</w:t>
            </w:r>
          </w:p>
        </w:tc>
        <w:tc>
          <w:tcPr>
            <w:tcW w:w="1415" w:type="dxa"/>
            <w:vAlign w:val="center"/>
          </w:tcPr>
          <w:p>
            <w:pPr>
              <w:widowControl/>
              <w:jc w:val="center"/>
              <w:textAlignment w:val="center"/>
              <w:rPr>
                <w:rFonts w:hint="eastAsia"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 xml:space="preserve"> 144,189.00 </w:t>
            </w:r>
          </w:p>
        </w:tc>
        <w:tc>
          <w:tcPr>
            <w:tcW w:w="1380" w:type="dxa"/>
            <w:vAlign w:val="center"/>
          </w:tcPr>
          <w:p>
            <w:pPr>
              <w:widowControl/>
              <w:jc w:val="center"/>
              <w:textAlignment w:val="center"/>
              <w:rPr>
                <w:rFonts w:hint="default" w:ascii="仿宋_GB2312" w:hAnsi="宋体" w:eastAsia="仿宋_GB2312" w:cs="宋体"/>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508" w:type="dxa"/>
          </w:tcPr>
          <w:p>
            <w:pPr>
              <w:widowControl/>
              <w:jc w:val="center"/>
              <w:textAlignment w:val="top"/>
              <w:rPr>
                <w:rFonts w:hint="eastAsia" w:ascii="仿宋_GB2312" w:eastAsia="仿宋_GB2312"/>
                <w:sz w:val="21"/>
                <w:szCs w:val="21"/>
                <w:lang w:val="en-US" w:eastAsia="zh-CN"/>
              </w:rPr>
            </w:pPr>
            <w:r>
              <w:rPr>
                <w:rFonts w:hint="eastAsia" w:ascii="仿宋_GB2312" w:hAnsi="宋体" w:eastAsia="仿宋_GB2312" w:cs="仿宋_GB2312"/>
                <w:color w:val="000000"/>
                <w:kern w:val="0"/>
                <w:sz w:val="21"/>
                <w:szCs w:val="21"/>
                <w:lang w:bidi="ar"/>
              </w:rPr>
              <w:t>江北新区</w:t>
            </w:r>
            <w:r>
              <w:rPr>
                <w:rFonts w:hint="eastAsia" w:ascii="仿宋_GB2312" w:hAnsi="宋体" w:eastAsia="仿宋_GB2312" w:cs="仿宋_GB2312"/>
                <w:color w:val="000000"/>
                <w:kern w:val="0"/>
                <w:sz w:val="21"/>
                <w:szCs w:val="21"/>
                <w:lang w:val="en-US" w:eastAsia="zh-CN" w:bidi="ar"/>
              </w:rPr>
              <w:t>公交</w:t>
            </w:r>
          </w:p>
        </w:tc>
        <w:tc>
          <w:tcPr>
            <w:tcW w:w="1622" w:type="dxa"/>
            <w:vAlign w:val="center"/>
          </w:tcPr>
          <w:p>
            <w:pPr>
              <w:widowControl/>
              <w:jc w:val="center"/>
              <w:textAlignment w:val="center"/>
              <w:rPr>
                <w:rFonts w:hint="eastAsia" w:ascii="仿宋_GB2312" w:eastAsia="仿宋_GB2312"/>
                <w:sz w:val="21"/>
                <w:szCs w:val="21"/>
              </w:rPr>
            </w:pPr>
            <w:r>
              <w:rPr>
                <w:rFonts w:hint="eastAsia" w:ascii="仿宋_GB2312" w:eastAsia="仿宋_GB2312"/>
                <w:sz w:val="21"/>
                <w:szCs w:val="21"/>
              </w:rPr>
              <w:t xml:space="preserve"> 5,900.80 </w:t>
            </w:r>
          </w:p>
        </w:tc>
        <w:tc>
          <w:tcPr>
            <w:tcW w:w="1482" w:type="dxa"/>
            <w:vAlign w:val="center"/>
          </w:tcPr>
          <w:p>
            <w:pPr>
              <w:widowControl/>
              <w:jc w:val="center"/>
              <w:textAlignment w:val="center"/>
              <w:rPr>
                <w:rFonts w:hint="eastAsia" w:ascii="仿宋_GB2312" w:eastAsia="仿宋_GB2312"/>
                <w:sz w:val="21"/>
                <w:szCs w:val="21"/>
              </w:rPr>
            </w:pPr>
            <w:r>
              <w:rPr>
                <w:rFonts w:hint="eastAsia" w:ascii="仿宋_GB2312" w:eastAsia="仿宋_GB2312"/>
                <w:sz w:val="21"/>
                <w:szCs w:val="21"/>
              </w:rPr>
              <w:t xml:space="preserve"> 5,900.80 </w:t>
            </w:r>
          </w:p>
        </w:tc>
        <w:tc>
          <w:tcPr>
            <w:tcW w:w="1371" w:type="dxa"/>
            <w:vAlign w:val="center"/>
          </w:tcPr>
          <w:p>
            <w:pPr>
              <w:widowControl/>
              <w:jc w:val="center"/>
              <w:textAlignment w:val="center"/>
              <w:rPr>
                <w:rFonts w:hint="eastAsia" w:ascii="仿宋_GB2312" w:eastAsia="仿宋_GB2312"/>
                <w:sz w:val="21"/>
                <w:szCs w:val="21"/>
              </w:rPr>
            </w:pPr>
            <w:r>
              <w:rPr>
                <w:rFonts w:hint="eastAsia" w:ascii="仿宋_GB2312" w:hAnsi="宋体" w:eastAsia="仿宋_GB2312" w:cs="宋体"/>
                <w:color w:val="000000"/>
                <w:kern w:val="0"/>
                <w:sz w:val="21"/>
                <w:szCs w:val="21"/>
                <w:lang w:val="en-US" w:eastAsia="zh-CN" w:bidi="ar"/>
              </w:rPr>
              <w:t>100.00%</w:t>
            </w:r>
          </w:p>
        </w:tc>
        <w:tc>
          <w:tcPr>
            <w:tcW w:w="1415" w:type="dxa"/>
            <w:vAlign w:val="center"/>
          </w:tcPr>
          <w:p>
            <w:pPr>
              <w:widowControl/>
              <w:jc w:val="center"/>
              <w:textAlignment w:val="center"/>
              <w:rPr>
                <w:rFonts w:hint="eastAsia" w:ascii="仿宋_GB2312" w:eastAsia="仿宋_GB2312"/>
                <w:sz w:val="21"/>
                <w:szCs w:val="21"/>
              </w:rPr>
            </w:pPr>
            <w:r>
              <w:rPr>
                <w:rFonts w:hint="eastAsia" w:ascii="仿宋_GB2312" w:eastAsia="仿宋_GB2312"/>
                <w:sz w:val="21"/>
                <w:szCs w:val="21"/>
              </w:rPr>
              <w:t xml:space="preserve"> 5,900.80 </w:t>
            </w:r>
          </w:p>
        </w:tc>
        <w:tc>
          <w:tcPr>
            <w:tcW w:w="1380" w:type="dxa"/>
          </w:tcPr>
          <w:p>
            <w:pPr>
              <w:widowControl/>
              <w:jc w:val="center"/>
              <w:textAlignment w:val="top"/>
              <w:rPr>
                <w:rFonts w:hint="eastAsia" w:ascii="仿宋_GB2312" w:eastAsia="仿宋_GB2312"/>
                <w:sz w:val="21"/>
                <w:szCs w:val="21"/>
              </w:rPr>
            </w:pPr>
            <w:r>
              <w:rPr>
                <w:rFonts w:hint="eastAsia" w:ascii="仿宋_GB2312" w:hAnsi="宋体" w:eastAsia="仿宋_GB2312" w:cs="宋体"/>
                <w:color w:val="000000"/>
                <w:kern w:val="0"/>
                <w:sz w:val="21"/>
                <w:szCs w:val="21"/>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tcPr>
          <w:p>
            <w:pPr>
              <w:widowControl/>
              <w:jc w:val="center"/>
              <w:textAlignment w:val="top"/>
              <w:rPr>
                <w:rFonts w:hint="eastAsia" w:ascii="仿宋_GB2312" w:eastAsia="仿宋_GB2312"/>
                <w:sz w:val="21"/>
                <w:szCs w:val="21"/>
                <w:lang w:val="en-US" w:eastAsia="zh-CN"/>
              </w:rPr>
            </w:pPr>
            <w:r>
              <w:rPr>
                <w:rFonts w:hint="eastAsia" w:ascii="仿宋_GB2312" w:hAnsi="宋体" w:eastAsia="仿宋_GB2312" w:cs="仿宋_GB2312"/>
                <w:color w:val="000000"/>
                <w:kern w:val="0"/>
                <w:sz w:val="21"/>
                <w:szCs w:val="21"/>
                <w:lang w:bidi="ar"/>
              </w:rPr>
              <w:t>浦口</w:t>
            </w:r>
            <w:r>
              <w:rPr>
                <w:rFonts w:hint="eastAsia" w:ascii="仿宋_GB2312" w:hAnsi="宋体" w:eastAsia="仿宋_GB2312" w:cs="仿宋_GB2312"/>
                <w:color w:val="000000"/>
                <w:kern w:val="0"/>
                <w:sz w:val="21"/>
                <w:szCs w:val="21"/>
                <w:lang w:val="en-US" w:eastAsia="zh-CN" w:bidi="ar"/>
              </w:rPr>
              <w:t>公交</w:t>
            </w:r>
          </w:p>
        </w:tc>
        <w:tc>
          <w:tcPr>
            <w:tcW w:w="1622" w:type="dxa"/>
            <w:vAlign w:val="center"/>
          </w:tcPr>
          <w:p>
            <w:pPr>
              <w:widowControl/>
              <w:jc w:val="center"/>
              <w:textAlignment w:val="center"/>
              <w:rPr>
                <w:rFonts w:hint="eastAsia" w:ascii="仿宋_GB2312" w:eastAsia="仿宋_GB2312"/>
                <w:sz w:val="21"/>
                <w:szCs w:val="21"/>
              </w:rPr>
            </w:pPr>
            <w:r>
              <w:rPr>
                <w:rFonts w:hint="eastAsia" w:ascii="仿宋_GB2312" w:eastAsia="仿宋_GB2312"/>
                <w:sz w:val="21"/>
                <w:szCs w:val="21"/>
              </w:rPr>
              <w:t xml:space="preserve"> 2,344.00 </w:t>
            </w:r>
          </w:p>
        </w:tc>
        <w:tc>
          <w:tcPr>
            <w:tcW w:w="1482" w:type="dxa"/>
            <w:vAlign w:val="center"/>
          </w:tcPr>
          <w:p>
            <w:pPr>
              <w:widowControl/>
              <w:jc w:val="center"/>
              <w:textAlignment w:val="center"/>
              <w:rPr>
                <w:rFonts w:hint="eastAsia" w:ascii="仿宋_GB2312" w:eastAsia="仿宋_GB2312"/>
                <w:sz w:val="21"/>
                <w:szCs w:val="21"/>
              </w:rPr>
            </w:pPr>
            <w:r>
              <w:rPr>
                <w:rFonts w:hint="eastAsia" w:ascii="仿宋_GB2312" w:eastAsia="仿宋_GB2312"/>
                <w:sz w:val="21"/>
                <w:szCs w:val="21"/>
              </w:rPr>
              <w:t xml:space="preserve"> 2,344.00 </w:t>
            </w:r>
          </w:p>
        </w:tc>
        <w:tc>
          <w:tcPr>
            <w:tcW w:w="1371" w:type="dxa"/>
            <w:vAlign w:val="center"/>
          </w:tcPr>
          <w:p>
            <w:pPr>
              <w:widowControl/>
              <w:jc w:val="center"/>
              <w:textAlignment w:val="center"/>
              <w:rPr>
                <w:rFonts w:hint="eastAsia" w:ascii="仿宋_GB2312" w:eastAsia="仿宋_GB2312"/>
                <w:sz w:val="21"/>
                <w:szCs w:val="21"/>
              </w:rPr>
            </w:pPr>
            <w:r>
              <w:rPr>
                <w:rFonts w:hint="eastAsia" w:ascii="仿宋_GB2312" w:hAnsi="宋体" w:eastAsia="仿宋_GB2312" w:cs="宋体"/>
                <w:color w:val="000000"/>
                <w:kern w:val="0"/>
                <w:sz w:val="21"/>
                <w:szCs w:val="21"/>
                <w:lang w:val="en-US" w:eastAsia="zh-CN" w:bidi="ar"/>
              </w:rPr>
              <w:t>100.00%</w:t>
            </w:r>
          </w:p>
        </w:tc>
        <w:tc>
          <w:tcPr>
            <w:tcW w:w="1415" w:type="dxa"/>
            <w:vAlign w:val="center"/>
          </w:tcPr>
          <w:p>
            <w:pPr>
              <w:widowControl/>
              <w:jc w:val="center"/>
              <w:textAlignment w:val="center"/>
              <w:rPr>
                <w:rFonts w:hint="eastAsia" w:ascii="仿宋_GB2312" w:eastAsia="仿宋_GB2312"/>
                <w:sz w:val="21"/>
                <w:szCs w:val="21"/>
              </w:rPr>
            </w:pPr>
            <w:r>
              <w:rPr>
                <w:rFonts w:hint="eastAsia" w:ascii="仿宋_GB2312" w:eastAsia="仿宋_GB2312"/>
                <w:sz w:val="21"/>
                <w:szCs w:val="21"/>
              </w:rPr>
              <w:t xml:space="preserve"> 2,344.00 </w:t>
            </w:r>
          </w:p>
        </w:tc>
        <w:tc>
          <w:tcPr>
            <w:tcW w:w="1380" w:type="dxa"/>
          </w:tcPr>
          <w:p>
            <w:pPr>
              <w:widowControl/>
              <w:jc w:val="center"/>
              <w:textAlignment w:val="top"/>
              <w:rPr>
                <w:rFonts w:hint="eastAsia" w:ascii="仿宋_GB2312" w:eastAsia="仿宋_GB2312"/>
                <w:sz w:val="21"/>
                <w:szCs w:val="21"/>
              </w:rPr>
            </w:pPr>
            <w:r>
              <w:rPr>
                <w:rFonts w:hint="eastAsia" w:ascii="仿宋_GB2312" w:hAnsi="宋体" w:eastAsia="仿宋_GB2312" w:cs="宋体"/>
                <w:color w:val="000000"/>
                <w:kern w:val="0"/>
                <w:sz w:val="21"/>
                <w:szCs w:val="21"/>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tcPr>
          <w:p>
            <w:pPr>
              <w:widowControl/>
              <w:jc w:val="center"/>
              <w:textAlignment w:val="top"/>
              <w:rPr>
                <w:rFonts w:hint="eastAsia" w:ascii="仿宋_GB2312" w:eastAsia="仿宋_GB2312"/>
                <w:sz w:val="21"/>
                <w:szCs w:val="21"/>
                <w:lang w:val="en-US" w:eastAsia="zh-CN"/>
              </w:rPr>
            </w:pPr>
            <w:r>
              <w:rPr>
                <w:rFonts w:hint="eastAsia" w:ascii="仿宋_GB2312" w:hAnsi="宋体" w:eastAsia="仿宋_GB2312" w:cs="仿宋_GB2312"/>
                <w:color w:val="000000"/>
                <w:kern w:val="0"/>
                <w:sz w:val="21"/>
                <w:szCs w:val="21"/>
                <w:lang w:bidi="ar"/>
              </w:rPr>
              <w:t>六合</w:t>
            </w:r>
            <w:r>
              <w:rPr>
                <w:rFonts w:hint="eastAsia" w:ascii="仿宋_GB2312" w:hAnsi="宋体" w:eastAsia="仿宋_GB2312" w:cs="仿宋_GB2312"/>
                <w:color w:val="000000"/>
                <w:kern w:val="0"/>
                <w:sz w:val="21"/>
                <w:szCs w:val="21"/>
                <w:lang w:val="en-US" w:eastAsia="zh-CN" w:bidi="ar"/>
              </w:rPr>
              <w:t>公交</w:t>
            </w:r>
          </w:p>
        </w:tc>
        <w:tc>
          <w:tcPr>
            <w:tcW w:w="1622" w:type="dxa"/>
            <w:vAlign w:val="center"/>
          </w:tcPr>
          <w:p>
            <w:pPr>
              <w:widowControl/>
              <w:jc w:val="center"/>
              <w:textAlignment w:val="center"/>
              <w:rPr>
                <w:rFonts w:hint="eastAsia" w:ascii="仿宋_GB2312" w:eastAsia="仿宋_GB2312"/>
                <w:sz w:val="21"/>
                <w:szCs w:val="21"/>
              </w:rPr>
            </w:pPr>
            <w:r>
              <w:rPr>
                <w:rFonts w:hint="eastAsia" w:ascii="仿宋_GB2312" w:eastAsia="仿宋_GB2312"/>
                <w:sz w:val="21"/>
                <w:szCs w:val="21"/>
              </w:rPr>
              <w:t xml:space="preserve"> 3,652.80 </w:t>
            </w:r>
          </w:p>
        </w:tc>
        <w:tc>
          <w:tcPr>
            <w:tcW w:w="1482" w:type="dxa"/>
            <w:vAlign w:val="center"/>
          </w:tcPr>
          <w:p>
            <w:pPr>
              <w:widowControl/>
              <w:jc w:val="center"/>
              <w:textAlignment w:val="center"/>
              <w:rPr>
                <w:rFonts w:hint="eastAsia" w:ascii="仿宋_GB2312" w:eastAsia="仿宋_GB2312"/>
                <w:sz w:val="21"/>
                <w:szCs w:val="21"/>
              </w:rPr>
            </w:pPr>
            <w:r>
              <w:rPr>
                <w:rFonts w:hint="eastAsia" w:ascii="仿宋_GB2312" w:eastAsia="仿宋_GB2312"/>
                <w:sz w:val="21"/>
                <w:szCs w:val="21"/>
              </w:rPr>
              <w:t xml:space="preserve"> 3,652.80 </w:t>
            </w:r>
          </w:p>
        </w:tc>
        <w:tc>
          <w:tcPr>
            <w:tcW w:w="1371" w:type="dxa"/>
            <w:vAlign w:val="center"/>
          </w:tcPr>
          <w:p>
            <w:pPr>
              <w:widowControl/>
              <w:jc w:val="center"/>
              <w:textAlignment w:val="center"/>
              <w:rPr>
                <w:rFonts w:hint="eastAsia" w:ascii="仿宋_GB2312" w:eastAsia="仿宋_GB2312"/>
                <w:sz w:val="21"/>
                <w:szCs w:val="21"/>
              </w:rPr>
            </w:pPr>
            <w:r>
              <w:rPr>
                <w:rFonts w:hint="eastAsia" w:ascii="仿宋_GB2312" w:hAnsi="宋体" w:eastAsia="仿宋_GB2312" w:cs="宋体"/>
                <w:color w:val="000000"/>
                <w:kern w:val="0"/>
                <w:sz w:val="21"/>
                <w:szCs w:val="21"/>
                <w:lang w:val="en-US" w:eastAsia="zh-CN" w:bidi="ar"/>
              </w:rPr>
              <w:t>100.00%</w:t>
            </w:r>
          </w:p>
        </w:tc>
        <w:tc>
          <w:tcPr>
            <w:tcW w:w="1415" w:type="dxa"/>
            <w:vAlign w:val="center"/>
          </w:tcPr>
          <w:p>
            <w:pPr>
              <w:widowControl/>
              <w:jc w:val="center"/>
              <w:textAlignment w:val="center"/>
              <w:rPr>
                <w:rFonts w:hint="eastAsia" w:ascii="仿宋_GB2312" w:eastAsia="仿宋_GB2312"/>
                <w:sz w:val="21"/>
                <w:szCs w:val="21"/>
              </w:rPr>
            </w:pPr>
            <w:r>
              <w:rPr>
                <w:rFonts w:hint="eastAsia" w:ascii="仿宋_GB2312" w:eastAsia="仿宋_GB2312"/>
                <w:sz w:val="21"/>
                <w:szCs w:val="21"/>
              </w:rPr>
              <w:t xml:space="preserve"> 3,652.80 </w:t>
            </w:r>
          </w:p>
        </w:tc>
        <w:tc>
          <w:tcPr>
            <w:tcW w:w="1380" w:type="dxa"/>
          </w:tcPr>
          <w:p>
            <w:pPr>
              <w:widowControl/>
              <w:jc w:val="center"/>
              <w:textAlignment w:val="top"/>
              <w:rPr>
                <w:rFonts w:hint="eastAsia" w:ascii="仿宋_GB2312" w:eastAsia="仿宋_GB2312"/>
                <w:sz w:val="21"/>
                <w:szCs w:val="21"/>
              </w:rPr>
            </w:pPr>
            <w:r>
              <w:rPr>
                <w:rFonts w:hint="eastAsia" w:ascii="仿宋_GB2312" w:hAnsi="宋体" w:eastAsia="仿宋_GB2312" w:cs="宋体"/>
                <w:color w:val="000000"/>
                <w:kern w:val="0"/>
                <w:sz w:val="21"/>
                <w:szCs w:val="21"/>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tcPr>
          <w:p>
            <w:pPr>
              <w:widowControl/>
              <w:jc w:val="center"/>
              <w:textAlignment w:val="top"/>
              <w:rPr>
                <w:rFonts w:hint="eastAsia" w:ascii="仿宋_GB2312" w:eastAsia="仿宋_GB2312"/>
                <w:sz w:val="21"/>
                <w:szCs w:val="21"/>
                <w:lang w:val="en-US" w:eastAsia="zh-CN"/>
              </w:rPr>
            </w:pPr>
            <w:r>
              <w:rPr>
                <w:rFonts w:hint="eastAsia" w:ascii="仿宋_GB2312" w:hAnsi="宋体" w:eastAsia="仿宋_GB2312" w:cs="仿宋_GB2312"/>
                <w:color w:val="000000"/>
                <w:kern w:val="0"/>
                <w:sz w:val="21"/>
                <w:szCs w:val="21"/>
                <w:lang w:val="en-US" w:eastAsia="zh-CN" w:bidi="ar"/>
              </w:rPr>
              <w:t>东山公交</w:t>
            </w:r>
          </w:p>
        </w:tc>
        <w:tc>
          <w:tcPr>
            <w:tcW w:w="1622" w:type="dxa"/>
          </w:tcPr>
          <w:p>
            <w:pPr>
              <w:widowControl/>
              <w:jc w:val="center"/>
              <w:textAlignment w:val="top"/>
              <w:rPr>
                <w:rFonts w:hint="eastAsia" w:ascii="仿宋_GB2312" w:eastAsia="仿宋_GB2312"/>
                <w:sz w:val="21"/>
                <w:szCs w:val="21"/>
              </w:rPr>
            </w:pPr>
            <w:r>
              <w:rPr>
                <w:rFonts w:hint="eastAsia" w:ascii="仿宋_GB2312" w:eastAsia="仿宋_GB2312"/>
                <w:sz w:val="21"/>
                <w:szCs w:val="21"/>
              </w:rPr>
              <w:t xml:space="preserve"> 4,842.40 </w:t>
            </w:r>
          </w:p>
        </w:tc>
        <w:tc>
          <w:tcPr>
            <w:tcW w:w="1482" w:type="dxa"/>
            <w:vAlign w:val="top"/>
          </w:tcPr>
          <w:p>
            <w:pPr>
              <w:widowControl/>
              <w:jc w:val="center"/>
              <w:textAlignment w:val="top"/>
              <w:rPr>
                <w:rFonts w:hint="eastAsia" w:ascii="仿宋_GB2312" w:eastAsia="仿宋_GB2312"/>
                <w:sz w:val="21"/>
                <w:szCs w:val="21"/>
              </w:rPr>
            </w:pPr>
            <w:r>
              <w:rPr>
                <w:rFonts w:hint="eastAsia" w:ascii="仿宋_GB2312" w:eastAsia="仿宋_GB2312"/>
                <w:sz w:val="21"/>
                <w:szCs w:val="21"/>
              </w:rPr>
              <w:t xml:space="preserve"> 4,842.40 </w:t>
            </w:r>
          </w:p>
        </w:tc>
        <w:tc>
          <w:tcPr>
            <w:tcW w:w="1371" w:type="dxa"/>
          </w:tcPr>
          <w:p>
            <w:pPr>
              <w:widowControl/>
              <w:jc w:val="center"/>
              <w:textAlignment w:val="top"/>
              <w:rPr>
                <w:rFonts w:hint="eastAsia" w:ascii="仿宋_GB2312" w:eastAsia="仿宋_GB2312"/>
                <w:sz w:val="21"/>
                <w:szCs w:val="21"/>
              </w:rPr>
            </w:pPr>
            <w:r>
              <w:rPr>
                <w:rFonts w:hint="eastAsia" w:ascii="仿宋_GB2312" w:hAnsi="宋体" w:eastAsia="仿宋_GB2312" w:cs="宋体"/>
                <w:color w:val="000000"/>
                <w:kern w:val="0"/>
                <w:sz w:val="21"/>
                <w:szCs w:val="21"/>
                <w:lang w:val="en-US" w:eastAsia="zh-CN" w:bidi="ar"/>
              </w:rPr>
              <w:t>100.00%</w:t>
            </w:r>
          </w:p>
        </w:tc>
        <w:tc>
          <w:tcPr>
            <w:tcW w:w="1415" w:type="dxa"/>
            <w:vAlign w:val="top"/>
          </w:tcPr>
          <w:p>
            <w:pPr>
              <w:widowControl/>
              <w:jc w:val="center"/>
              <w:textAlignment w:val="top"/>
              <w:rPr>
                <w:rFonts w:hint="eastAsia" w:ascii="仿宋_GB2312" w:eastAsia="仿宋_GB2312"/>
                <w:sz w:val="21"/>
                <w:szCs w:val="21"/>
              </w:rPr>
            </w:pPr>
            <w:r>
              <w:rPr>
                <w:rFonts w:hint="eastAsia" w:ascii="仿宋_GB2312" w:eastAsia="仿宋_GB2312"/>
                <w:sz w:val="21"/>
                <w:szCs w:val="21"/>
              </w:rPr>
              <w:t xml:space="preserve"> 4,842.40 </w:t>
            </w:r>
          </w:p>
        </w:tc>
        <w:tc>
          <w:tcPr>
            <w:tcW w:w="1380" w:type="dxa"/>
          </w:tcPr>
          <w:p>
            <w:pPr>
              <w:widowControl/>
              <w:jc w:val="center"/>
              <w:textAlignment w:val="top"/>
              <w:rPr>
                <w:rFonts w:hint="eastAsia" w:ascii="仿宋_GB2312" w:eastAsia="仿宋_GB2312"/>
                <w:sz w:val="21"/>
                <w:szCs w:val="21"/>
              </w:rPr>
            </w:pPr>
            <w:r>
              <w:rPr>
                <w:rFonts w:hint="eastAsia" w:ascii="仿宋_GB2312" w:hAnsi="宋体" w:eastAsia="仿宋_GB2312" w:cs="宋体"/>
                <w:color w:val="000000"/>
                <w:kern w:val="0"/>
                <w:sz w:val="21"/>
                <w:szCs w:val="21"/>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tcPr>
          <w:p>
            <w:pPr>
              <w:widowControl/>
              <w:jc w:val="center"/>
              <w:textAlignment w:val="top"/>
              <w:rPr>
                <w:rFonts w:hint="eastAsia" w:ascii="仿宋_GB2312" w:hAnsi="宋体" w:eastAsia="仿宋_GB2312" w:cs="仿宋_GB2312"/>
                <w:b/>
                <w:bCs/>
                <w:color w:val="000000"/>
                <w:kern w:val="0"/>
                <w:sz w:val="21"/>
                <w:szCs w:val="21"/>
                <w:lang w:bidi="ar"/>
              </w:rPr>
            </w:pPr>
            <w:r>
              <w:rPr>
                <w:rFonts w:hint="eastAsia" w:ascii="仿宋_GB2312" w:hAnsi="宋体" w:eastAsia="仿宋_GB2312" w:cs="仿宋_GB2312"/>
                <w:b/>
                <w:bCs/>
                <w:color w:val="000000"/>
                <w:kern w:val="0"/>
                <w:sz w:val="21"/>
                <w:szCs w:val="21"/>
                <w:lang w:bidi="ar"/>
              </w:rPr>
              <w:t>合计</w:t>
            </w:r>
          </w:p>
        </w:tc>
        <w:tc>
          <w:tcPr>
            <w:tcW w:w="1622" w:type="dxa"/>
          </w:tcPr>
          <w:p>
            <w:pPr>
              <w:widowControl/>
              <w:jc w:val="center"/>
              <w:textAlignment w:val="top"/>
              <w:rPr>
                <w:rFonts w:hint="eastAsia" w:ascii="仿宋_GB2312" w:hAnsi="宋体" w:eastAsia="仿宋_GB2312" w:cs="仿宋_GB2312"/>
                <w:b/>
                <w:bCs/>
                <w:color w:val="000000"/>
                <w:kern w:val="0"/>
                <w:sz w:val="21"/>
                <w:szCs w:val="21"/>
                <w:lang w:bidi="ar"/>
              </w:rPr>
            </w:pPr>
            <w:r>
              <w:rPr>
                <w:rFonts w:hint="eastAsia" w:ascii="仿宋_GB2312" w:hAnsi="宋体" w:eastAsia="仿宋_GB2312" w:cs="仿宋_GB2312"/>
                <w:b/>
                <w:bCs/>
                <w:color w:val="000000"/>
                <w:kern w:val="0"/>
                <w:sz w:val="21"/>
                <w:szCs w:val="21"/>
                <w:lang w:bidi="ar"/>
              </w:rPr>
              <w:t>160,929.00</w:t>
            </w:r>
          </w:p>
        </w:tc>
        <w:tc>
          <w:tcPr>
            <w:tcW w:w="1482" w:type="dxa"/>
            <w:vAlign w:val="top"/>
          </w:tcPr>
          <w:p>
            <w:pPr>
              <w:widowControl/>
              <w:jc w:val="center"/>
              <w:textAlignment w:val="top"/>
              <w:rPr>
                <w:rFonts w:hint="eastAsia" w:ascii="仿宋_GB2312" w:hAnsi="宋体" w:eastAsia="仿宋_GB2312" w:cs="仿宋_GB2312"/>
                <w:b/>
                <w:bCs/>
                <w:color w:val="000000"/>
                <w:kern w:val="0"/>
                <w:sz w:val="21"/>
                <w:szCs w:val="21"/>
                <w:lang w:bidi="ar"/>
              </w:rPr>
            </w:pPr>
            <w:r>
              <w:rPr>
                <w:rFonts w:hint="eastAsia" w:ascii="仿宋_GB2312" w:hAnsi="宋体" w:eastAsia="仿宋_GB2312" w:cs="仿宋_GB2312"/>
                <w:b/>
                <w:bCs/>
                <w:color w:val="000000"/>
                <w:kern w:val="0"/>
                <w:sz w:val="21"/>
                <w:szCs w:val="21"/>
                <w:lang w:bidi="ar"/>
              </w:rPr>
              <w:t>160,929.00</w:t>
            </w:r>
          </w:p>
        </w:tc>
        <w:tc>
          <w:tcPr>
            <w:tcW w:w="1371" w:type="dxa"/>
          </w:tcPr>
          <w:p>
            <w:pPr>
              <w:widowControl/>
              <w:jc w:val="center"/>
              <w:textAlignment w:val="top"/>
              <w:rPr>
                <w:rFonts w:hint="eastAsia" w:ascii="仿宋_GB2312" w:hAnsi="宋体" w:eastAsia="仿宋_GB2312" w:cs="仿宋_GB2312"/>
                <w:b/>
                <w:bCs/>
                <w:color w:val="000000"/>
                <w:kern w:val="0"/>
                <w:sz w:val="21"/>
                <w:szCs w:val="21"/>
                <w:lang w:bidi="ar"/>
              </w:rPr>
            </w:pPr>
            <w:r>
              <w:rPr>
                <w:rFonts w:hint="eastAsia" w:ascii="仿宋_GB2312" w:hAnsi="宋体" w:eastAsia="仿宋_GB2312" w:cs="宋体"/>
                <w:color w:val="000000"/>
                <w:kern w:val="0"/>
                <w:sz w:val="21"/>
                <w:szCs w:val="21"/>
                <w:lang w:val="en-US" w:eastAsia="zh-CN" w:bidi="ar"/>
              </w:rPr>
              <w:t>100.00%</w:t>
            </w:r>
          </w:p>
        </w:tc>
        <w:tc>
          <w:tcPr>
            <w:tcW w:w="1415" w:type="dxa"/>
            <w:vAlign w:val="top"/>
          </w:tcPr>
          <w:p>
            <w:pPr>
              <w:widowControl/>
              <w:jc w:val="center"/>
              <w:textAlignment w:val="top"/>
              <w:rPr>
                <w:rFonts w:hint="eastAsia" w:ascii="仿宋_GB2312" w:hAnsi="宋体" w:eastAsia="仿宋_GB2312" w:cs="仿宋_GB2312"/>
                <w:b/>
                <w:bCs/>
                <w:color w:val="000000"/>
                <w:kern w:val="0"/>
                <w:sz w:val="21"/>
                <w:szCs w:val="21"/>
                <w:lang w:bidi="ar"/>
              </w:rPr>
            </w:pPr>
            <w:r>
              <w:rPr>
                <w:rFonts w:hint="eastAsia" w:ascii="仿宋_GB2312" w:hAnsi="宋体" w:eastAsia="仿宋_GB2312" w:cs="仿宋_GB2312"/>
                <w:b/>
                <w:bCs/>
                <w:color w:val="000000"/>
                <w:kern w:val="0"/>
                <w:sz w:val="21"/>
                <w:szCs w:val="21"/>
                <w:lang w:bidi="ar"/>
              </w:rPr>
              <w:t>160,929.00</w:t>
            </w:r>
          </w:p>
        </w:tc>
        <w:tc>
          <w:tcPr>
            <w:tcW w:w="1380" w:type="dxa"/>
          </w:tcPr>
          <w:p>
            <w:pPr>
              <w:widowControl/>
              <w:jc w:val="center"/>
              <w:textAlignment w:val="top"/>
              <w:rPr>
                <w:rFonts w:hint="eastAsia" w:ascii="仿宋_GB2312" w:hAnsi="宋体" w:eastAsia="仿宋_GB2312" w:cs="仿宋_GB2312"/>
                <w:b/>
                <w:bCs/>
                <w:color w:val="000000"/>
                <w:kern w:val="0"/>
                <w:sz w:val="21"/>
                <w:szCs w:val="21"/>
                <w:lang w:bidi="ar"/>
              </w:rPr>
            </w:pPr>
            <w:r>
              <w:rPr>
                <w:rFonts w:hint="eastAsia" w:ascii="仿宋_GB2312" w:hAnsi="宋体" w:eastAsia="仿宋_GB2312" w:cs="宋体"/>
                <w:color w:val="000000"/>
                <w:kern w:val="0"/>
                <w:sz w:val="21"/>
                <w:szCs w:val="21"/>
                <w:lang w:val="en-US" w:eastAsia="zh-CN" w:bidi="ar"/>
              </w:rPr>
              <w:t>100.00%</w:t>
            </w:r>
          </w:p>
        </w:tc>
      </w:tr>
    </w:tbl>
    <w:p>
      <w:pPr>
        <w:pStyle w:val="3"/>
        <w:keepNext/>
        <w:keepLines/>
        <w:pageBreakBefore w:val="0"/>
        <w:widowControl w:val="0"/>
        <w:kinsoku/>
        <w:wordWrap/>
        <w:overflowPunct/>
        <w:topLinePunct w:val="0"/>
        <w:autoSpaceDE/>
        <w:autoSpaceDN/>
        <w:bidi w:val="0"/>
        <w:adjustRightInd/>
        <w:snapToGrid/>
        <w:spacing w:before="157" w:beforeLines="50" w:after="0" w:line="240" w:lineRule="auto"/>
        <w:ind w:firstLine="640" w:firstLineChars="200"/>
        <w:textAlignment w:val="auto"/>
        <w:rPr>
          <w:rFonts w:hint="default" w:ascii="楷体" w:hAnsi="楷体" w:eastAsia="楷体" w:cs="楷体"/>
          <w:b w:val="0"/>
          <w:bCs/>
          <w:lang w:val="en-US" w:eastAsia="zh-CN"/>
        </w:rPr>
      </w:pPr>
      <w:bookmarkStart w:id="8" w:name="_Toc10147"/>
      <w:r>
        <w:rPr>
          <w:rFonts w:hint="eastAsia" w:ascii="楷体" w:hAnsi="楷体" w:eastAsia="楷体" w:cs="楷体"/>
          <w:b w:val="0"/>
          <w:bCs/>
          <w:lang w:val="en-US" w:eastAsia="zh-CN"/>
        </w:rPr>
        <w:t>（三）绩效目标</w:t>
      </w:r>
      <w:bookmarkEnd w:id="8"/>
    </w:p>
    <w:p>
      <w:pPr>
        <w:spacing w:line="360" w:lineRule="auto"/>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1.总绩效目标</w:t>
      </w:r>
    </w:p>
    <w:p>
      <w:pPr>
        <w:spacing w:line="360" w:lineRule="auto"/>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公交企业运营补贴以成本规制财政补贴为基础，厘清政府与企业的责任界限，政策性亏损由政府承担、经营性亏损由企业承担，激励企业降低成本，加强经营管理，增收节支，积极寻求兼顾公益性和企业效益的改善措施，促进公交企业加强经营管理，提高财政补贴资金使用效果。</w:t>
      </w:r>
    </w:p>
    <w:p>
      <w:pPr>
        <w:spacing w:line="360" w:lineRule="auto"/>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2.阶段性绩效目标</w:t>
      </w:r>
    </w:p>
    <w:p>
      <w:pPr>
        <w:spacing w:line="360" w:lineRule="auto"/>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出台新一轮公交企业成本规制和考核办法</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明确政策性亏损与经营性亏损，实现精准补贴、责任清晰。</w:t>
      </w:r>
      <w:r>
        <w:rPr>
          <w:rFonts w:hint="eastAsia" w:ascii="仿宋_GB2312" w:eastAsia="仿宋_GB2312"/>
          <w:sz w:val="32"/>
          <w:szCs w:val="32"/>
          <w:highlight w:val="none"/>
        </w:rPr>
        <w:t>围绕运营效率、服务质量和成本控制，完善公交企业考核体系，建立科学规范的公交企业监督考核机制，激励企业降本提质增效</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通过对公交企业提供运营补贴，</w:t>
      </w:r>
      <w:r>
        <w:rPr>
          <w:rFonts w:hint="eastAsia" w:ascii="仿宋_GB2312" w:eastAsia="仿宋_GB2312"/>
          <w:sz w:val="32"/>
          <w:szCs w:val="32"/>
          <w:highlight w:val="none"/>
          <w:lang w:eastAsia="zh-CN"/>
        </w:rPr>
        <w:t>维持相关企业的正常运营，</w:t>
      </w:r>
      <w:r>
        <w:rPr>
          <w:rFonts w:hint="eastAsia" w:ascii="仿宋_GB2312" w:eastAsia="仿宋_GB2312"/>
          <w:sz w:val="32"/>
          <w:szCs w:val="32"/>
          <w:highlight w:val="none"/>
        </w:rPr>
        <w:t>更好满足公众基本出行需求。</w:t>
      </w:r>
    </w:p>
    <w:p>
      <w:pPr>
        <w:spacing w:line="360" w:lineRule="auto"/>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3.年度绩效目标</w:t>
      </w:r>
    </w:p>
    <w:p>
      <w:pPr>
        <w:spacing w:line="360" w:lineRule="auto"/>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rPr>
        <w:t>保障公交企业基本补贴（定额补贴），保证政府购买服务（单项补贴）要求。补贴范围、标准明确，在市政府没有出台重大影响公交企业成本政策情况下，基本控制财政补贴大幅增长势头。</w:t>
      </w:r>
      <w:r>
        <w:rPr>
          <w:rFonts w:hint="eastAsia" w:ascii="仿宋_GB2312" w:eastAsia="仿宋_GB2312"/>
          <w:sz w:val="32"/>
          <w:szCs w:val="32"/>
          <w:highlight w:val="none"/>
          <w:lang w:val="en-US" w:eastAsia="zh-CN"/>
        </w:rPr>
        <w:t>2024年度</w:t>
      </w:r>
      <w:r>
        <w:rPr>
          <w:rFonts w:hint="eastAsia" w:ascii="仿宋_GB2312" w:eastAsia="仿宋_GB2312"/>
          <w:sz w:val="32"/>
          <w:szCs w:val="32"/>
          <w:highlight w:val="none"/>
        </w:rPr>
        <w:t>公共交通站点500米覆盖率</w:t>
      </w:r>
      <w:r>
        <w:rPr>
          <w:rFonts w:hint="eastAsia" w:ascii="仿宋_GB2312" w:eastAsia="仿宋_GB2312"/>
          <w:sz w:val="32"/>
          <w:szCs w:val="32"/>
          <w:highlight w:val="none"/>
          <w:lang w:val="en-US" w:eastAsia="zh-CN"/>
        </w:rPr>
        <w:t>达到100%，万人公共交通车辆保有量达到16标台/万人，公共汽电车线路网比率达到60%，城乡客运线路公交化运营比率达到100%，公共汽电车责任事故死亡率＜0.045人/百万公里。</w:t>
      </w:r>
    </w:p>
    <w:p>
      <w:pPr>
        <w:numPr>
          <w:ilvl w:val="0"/>
          <w:numId w:val="0"/>
        </w:numPr>
        <w:spacing w:line="360" w:lineRule="auto"/>
        <w:ind w:firstLine="640" w:firstLineChars="200"/>
        <w:rPr>
          <w:rFonts w:hint="eastAsia" w:ascii="仿宋_GB2312" w:eastAsia="仿宋_GB2312"/>
          <w:sz w:val="32"/>
          <w:szCs w:val="32"/>
          <w:highlight w:val="none"/>
          <w:lang w:val="en-US" w:eastAsia="zh-CN"/>
        </w:rPr>
      </w:pPr>
      <w:r>
        <w:rPr>
          <w:rFonts w:hint="eastAsia" w:ascii="楷体" w:hAnsi="楷体" w:eastAsia="楷体" w:cs="楷体"/>
          <w:b w:val="0"/>
          <w:bCs/>
          <w:kern w:val="2"/>
          <w:sz w:val="32"/>
          <w:szCs w:val="24"/>
          <w:highlight w:val="none"/>
          <w:lang w:val="en-US" w:eastAsia="zh-CN" w:bidi="ar-SA"/>
        </w:rPr>
        <w:t>（四）项目组织实施</w:t>
      </w:r>
    </w:p>
    <w:p>
      <w:pPr>
        <w:spacing w:line="360" w:lineRule="auto"/>
        <w:ind w:firstLine="643" w:firstLineChars="200"/>
        <w:rPr>
          <w:rFonts w:hint="eastAsia" w:ascii="仿宋_GB2312" w:eastAsia="仿宋_GB2312"/>
          <w:sz w:val="32"/>
          <w:szCs w:val="32"/>
          <w:highlight w:val="none"/>
          <w:lang w:val="en-US" w:eastAsia="zh-CN"/>
        </w:rPr>
      </w:pPr>
      <w:r>
        <w:rPr>
          <w:rFonts w:hint="eastAsia" w:ascii="仿宋_GB2312" w:eastAsia="仿宋_GB2312"/>
          <w:b/>
          <w:bCs/>
          <w:sz w:val="32"/>
          <w:szCs w:val="32"/>
          <w:highlight w:val="none"/>
          <w:lang w:val="en-US" w:eastAsia="zh-CN"/>
        </w:rPr>
        <w:t>1.组织管理</w:t>
      </w:r>
    </w:p>
    <w:p>
      <w:pPr>
        <w:numPr>
          <w:ilvl w:val="0"/>
          <w:numId w:val="0"/>
        </w:numPr>
        <w:spacing w:line="360" w:lineRule="auto"/>
        <w:ind w:firstLine="640" w:firstLineChars="200"/>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南京市交通运输局，主要职责：负责全市道路、水路运输发展和管理工作；负责运输场站（枢纽）的规划和建设管理；负责道路、水路运输及交通物流发展战略、规划、政策、标准的拟定和监督实施；承担机动车维修、营运车辆综合性能检测、机动车驾驶员培训管理工作；协调综合运输服务工作，承担道路、水路运输信用管理工作；指导监督城市客运交通年度经营计划的制订和实施；指导编制公交线网优化方案；负责公共汽车、城市轨道交通运营、出租汽车、汽车租赁、公共自行车（含租赁自行车）等行业管理工作；承担公共交通新能源汽车推广应用相关工作。</w:t>
      </w:r>
    </w:p>
    <w:p>
      <w:pPr>
        <w:numPr>
          <w:ilvl w:val="0"/>
          <w:numId w:val="0"/>
        </w:numPr>
        <w:spacing w:line="360" w:lineRule="auto"/>
        <w:ind w:firstLine="640" w:firstLineChars="200"/>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南京市</w:t>
      </w:r>
      <w:r>
        <w:rPr>
          <w:rFonts w:hint="eastAsia" w:ascii="仿宋_GB2312" w:eastAsia="仿宋_GB2312"/>
          <w:sz w:val="32"/>
          <w:szCs w:val="32"/>
          <w:highlight w:val="none"/>
          <w:lang w:val="en-US" w:eastAsia="zh-CN"/>
        </w:rPr>
        <w:t>财政</w:t>
      </w:r>
      <w:r>
        <w:rPr>
          <w:rFonts w:hint="default" w:ascii="仿宋_GB2312" w:eastAsia="仿宋_GB2312"/>
          <w:sz w:val="32"/>
          <w:szCs w:val="32"/>
          <w:highlight w:val="none"/>
          <w:lang w:val="en-US" w:eastAsia="zh-CN"/>
        </w:rPr>
        <w:t>局，主要职责：研究提出支持全市企业改革、创新、发展和市级财政支持相关产业的财政政策并承担相关资金管理工作；协助研究产业政策和企业改革政策；研究提出促进内外贸发展的财政政策并承担相关资金管理工作；研究制定公用企业营运相关政策并承担相关政策性补贴资金管理工作；贯彻落实国家与国有企业分配政策，组织拟定国有资本经营预算制度，编制国有企业资本经营预算草案，汇总编制国有资本经营决算，收取市属企业国有资本收益；组织实施企业财务制度；协助拟定企业国有资产管理相关制度。</w:t>
      </w:r>
    </w:p>
    <w:p>
      <w:pPr>
        <w:numPr>
          <w:ilvl w:val="0"/>
          <w:numId w:val="0"/>
        </w:numPr>
        <w:spacing w:line="360" w:lineRule="auto"/>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南京市公交集团：负责南京市公交线路的规划、运营和管理，提供公交、轮渡、有轨电车、公共自行车等多元化公共交通服务，承担城市客运服务，包括公交线路运营、包车业务等，具体使用公交企业运营补贴资金，具体承担公交企业运营补贴资金使用的主体责任，必要时接受资金检查监督。</w:t>
      </w:r>
    </w:p>
    <w:p>
      <w:pPr>
        <w:spacing w:line="360" w:lineRule="auto"/>
        <w:ind w:firstLine="643" w:firstLineChars="200"/>
        <w:rPr>
          <w:rFonts w:hint="eastAsia" w:ascii="仿宋_GB2312" w:eastAsia="仿宋_GB2312"/>
          <w:sz w:val="32"/>
          <w:szCs w:val="32"/>
          <w:highlight w:val="none"/>
          <w:lang w:val="en-US" w:eastAsia="zh-CN"/>
        </w:rPr>
      </w:pPr>
      <w:r>
        <w:rPr>
          <w:rFonts w:hint="eastAsia" w:ascii="仿宋_GB2312" w:eastAsia="仿宋_GB2312"/>
          <w:b/>
          <w:bCs/>
          <w:sz w:val="32"/>
          <w:szCs w:val="32"/>
          <w:highlight w:val="none"/>
          <w:lang w:val="en-US" w:eastAsia="zh-CN"/>
        </w:rPr>
        <w:t>2.项目管理流程</w:t>
      </w:r>
    </w:p>
    <w:p>
      <w:pPr>
        <w:numPr>
          <w:ilvl w:val="0"/>
          <w:numId w:val="0"/>
        </w:numPr>
        <w:spacing w:line="360" w:lineRule="auto"/>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南京市财政局、南京市交通运输局负责制定</w:t>
      </w:r>
      <w:r>
        <w:rPr>
          <w:rFonts w:hint="default" w:ascii="仿宋_GB2312" w:eastAsia="仿宋_GB2312"/>
          <w:sz w:val="32"/>
          <w:szCs w:val="32"/>
          <w:highlight w:val="none"/>
          <w:lang w:val="en-US" w:eastAsia="zh-CN"/>
        </w:rPr>
        <w:t>公交企业成本规制和考核办法</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围绕运营效率、服务质量和成本控制，完善公交企业考核体系，建立科学规范的公交企业监督考核机制，激励企业降本提质增效。</w:t>
      </w:r>
    </w:p>
    <w:p>
      <w:pPr>
        <w:numPr>
          <w:ilvl w:val="0"/>
          <w:numId w:val="0"/>
        </w:numPr>
        <w:spacing w:line="360" w:lineRule="auto"/>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南京市公交集团为其下属第一分公司至第四分公司、江北新区公交、浦口公交、六合公交运营企业的管理机构。公交集团第一分公司至第四分公司、江北新区公交、浦口公交、六合公交及东山公交，主要职责是根据各自区域划分和职能分工，分别提供南京市主城区、江北三区及江宁区的公交运营服务。</w:t>
      </w:r>
    </w:p>
    <w:p>
      <w:pPr>
        <w:spacing w:line="360" w:lineRule="auto"/>
        <w:ind w:firstLine="643" w:firstLineChars="200"/>
        <w:rPr>
          <w:rFonts w:hint="eastAsia" w:ascii="仿宋_GB2312" w:eastAsia="仿宋_GB2312"/>
          <w:sz w:val="32"/>
          <w:szCs w:val="32"/>
          <w:highlight w:val="none"/>
          <w:lang w:val="en-US" w:eastAsia="zh-CN"/>
        </w:rPr>
      </w:pPr>
      <w:r>
        <w:rPr>
          <w:rFonts w:hint="eastAsia" w:ascii="仿宋_GB2312" w:eastAsia="仿宋_GB2312"/>
          <w:b/>
          <w:bCs/>
          <w:sz w:val="32"/>
          <w:szCs w:val="32"/>
          <w:highlight w:val="none"/>
          <w:lang w:val="en-US" w:eastAsia="zh-CN"/>
        </w:rPr>
        <w:t>3.资金管理</w:t>
      </w:r>
    </w:p>
    <w:p>
      <w:pPr>
        <w:numPr>
          <w:ilvl w:val="0"/>
          <w:numId w:val="0"/>
        </w:numPr>
        <w:spacing w:line="360" w:lineRule="auto"/>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南京市公交集团向南京市财政局提出主城区域公交运营企业补贴资金申请</w:t>
      </w:r>
      <w:r>
        <w:rPr>
          <w:rFonts w:hint="default" w:ascii="仿宋_GB2312" w:eastAsia="仿宋_GB2312"/>
          <w:sz w:val="32"/>
          <w:szCs w:val="32"/>
          <w:highlight w:val="none"/>
          <w:lang w:val="en-US" w:eastAsia="zh-CN"/>
        </w:rPr>
        <w:t>，</w:t>
      </w:r>
      <w:r>
        <w:rPr>
          <w:rFonts w:hint="eastAsia" w:ascii="仿宋_GB2312" w:eastAsia="仿宋_GB2312"/>
          <w:sz w:val="32"/>
          <w:szCs w:val="32"/>
          <w:highlight w:val="none"/>
          <w:lang w:val="en-US" w:eastAsia="zh-CN"/>
        </w:rPr>
        <w:t>经南京市财政局审批后，由南京市财政局向公交集团按季度预拨公交企业运营补贴，年度结束后对预拨资金进行最终的清算核对工作。</w:t>
      </w:r>
    </w:p>
    <w:p>
      <w:pPr>
        <w:numPr>
          <w:ilvl w:val="0"/>
          <w:numId w:val="0"/>
        </w:numPr>
        <w:spacing w:line="360" w:lineRule="auto"/>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江北三区及江宁区公交运营企业补贴由南京市财政局下拨至各区财政局，由江北三区及江宁区公交运营企业向区财政提出补贴资金申请，经区财政局批准后预拨公交企业运营补贴，年度结束后由南京市财政局和南京市交通运输局对预拨资金进行最终的清算核对工作。</w:t>
      </w:r>
    </w:p>
    <w:p>
      <w:pPr>
        <w:pStyle w:val="3"/>
        <w:spacing w:before="0" w:after="0" w:line="240" w:lineRule="auto"/>
        <w:ind w:firstLine="640" w:firstLineChars="200"/>
        <w:rPr>
          <w:rFonts w:hint="eastAsia" w:ascii="楷体" w:hAnsi="楷体" w:eastAsia="楷体" w:cs="楷体"/>
          <w:b w:val="0"/>
          <w:bCs/>
          <w:highlight w:val="none"/>
          <w:lang w:val="en-US" w:eastAsia="zh-CN"/>
        </w:rPr>
      </w:pPr>
      <w:bookmarkStart w:id="9" w:name="_Toc26411"/>
      <w:r>
        <w:rPr>
          <w:rFonts w:hint="eastAsia" w:ascii="楷体" w:hAnsi="楷体" w:eastAsia="楷体" w:cs="楷体"/>
          <w:b w:val="0"/>
          <w:bCs/>
          <w:highlight w:val="none"/>
          <w:lang w:val="en-US" w:eastAsia="zh-CN"/>
        </w:rPr>
        <w:t>（五）项目利益相关方</w:t>
      </w:r>
      <w:bookmarkEnd w:id="9"/>
    </w:p>
    <w:p>
      <w:pPr>
        <w:numPr>
          <w:ilvl w:val="0"/>
          <w:numId w:val="0"/>
        </w:numPr>
        <w:spacing w:line="360" w:lineRule="auto"/>
        <w:ind w:firstLine="640" w:firstLineChars="200"/>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资金拨款部门：南京市财政局、各区财政局</w:t>
      </w:r>
    </w:p>
    <w:p>
      <w:pPr>
        <w:numPr>
          <w:ilvl w:val="0"/>
          <w:numId w:val="0"/>
        </w:numPr>
        <w:spacing w:line="360" w:lineRule="auto"/>
        <w:ind w:firstLine="640" w:firstLineChars="200"/>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项目主管部门：南京市交通运输局、各区交通运输部门</w:t>
      </w:r>
    </w:p>
    <w:p>
      <w:pPr>
        <w:numPr>
          <w:ilvl w:val="0"/>
          <w:numId w:val="0"/>
        </w:numPr>
        <w:spacing w:line="360" w:lineRule="auto"/>
        <w:ind w:firstLine="640" w:firstLineChars="200"/>
        <w:rPr>
          <w:rFonts w:hint="eastAsia" w:ascii="仿宋_GB2312" w:eastAsia="仿宋_GB2312"/>
          <w:sz w:val="32"/>
          <w:szCs w:val="32"/>
          <w:highlight w:val="none"/>
          <w:lang w:val="en-US" w:eastAsia="zh-CN"/>
        </w:rPr>
      </w:pPr>
      <w:r>
        <w:rPr>
          <w:rFonts w:hint="default" w:ascii="仿宋_GB2312" w:eastAsia="仿宋_GB2312"/>
          <w:sz w:val="32"/>
          <w:szCs w:val="32"/>
          <w:highlight w:val="none"/>
          <w:lang w:val="en-US" w:eastAsia="zh-CN"/>
        </w:rPr>
        <w:t>项目实施单位：南京公共交通（集团）有限公司</w:t>
      </w:r>
      <w:r>
        <w:rPr>
          <w:rFonts w:hint="eastAsia" w:ascii="仿宋_GB2312" w:eastAsia="仿宋_GB2312"/>
          <w:sz w:val="32"/>
          <w:szCs w:val="32"/>
          <w:highlight w:val="none"/>
          <w:lang w:val="en-US" w:eastAsia="zh-CN"/>
        </w:rPr>
        <w:t>及所属公交企业、南京东山公交客运有限公司</w:t>
      </w:r>
    </w:p>
    <w:p>
      <w:pPr>
        <w:numPr>
          <w:ilvl w:val="0"/>
          <w:numId w:val="0"/>
        </w:numPr>
        <w:spacing w:line="360" w:lineRule="auto"/>
        <w:ind w:firstLine="640" w:firstLineChars="200"/>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项目受益方：获得</w:t>
      </w:r>
      <w:r>
        <w:rPr>
          <w:rFonts w:hint="eastAsia" w:ascii="仿宋_GB2312" w:eastAsia="仿宋_GB2312"/>
          <w:sz w:val="32"/>
          <w:szCs w:val="32"/>
          <w:highlight w:val="none"/>
          <w:lang w:val="en-US" w:eastAsia="zh-CN"/>
        </w:rPr>
        <w:t>运营补贴</w:t>
      </w:r>
      <w:r>
        <w:rPr>
          <w:rFonts w:hint="default" w:ascii="仿宋_GB2312" w:eastAsia="仿宋_GB2312"/>
          <w:sz w:val="32"/>
          <w:szCs w:val="32"/>
          <w:highlight w:val="none"/>
          <w:lang w:val="en-US" w:eastAsia="zh-CN"/>
        </w:rPr>
        <w:t>资金的南京公共交通（集团）有限公司</w:t>
      </w:r>
      <w:r>
        <w:rPr>
          <w:rFonts w:hint="eastAsia" w:ascii="仿宋_GB2312" w:eastAsia="仿宋_GB2312"/>
          <w:sz w:val="32"/>
          <w:szCs w:val="32"/>
          <w:highlight w:val="none"/>
          <w:lang w:val="en-US" w:eastAsia="zh-CN"/>
        </w:rPr>
        <w:t>及所属公交企业、南京东山公交客运有限公司，乘坐公交出行的社会公众等。</w:t>
      </w:r>
    </w:p>
    <w:p>
      <w:pPr>
        <w:spacing w:line="360" w:lineRule="auto"/>
        <w:ind w:firstLine="640" w:firstLineChars="200"/>
        <w:outlineLvl w:val="0"/>
        <w:rPr>
          <w:rFonts w:hint="default" w:ascii="黑体" w:hAnsi="黑体" w:eastAsia="黑体"/>
          <w:sz w:val="32"/>
          <w:szCs w:val="32"/>
          <w:lang w:val="en-US" w:eastAsia="zh-CN"/>
        </w:rPr>
      </w:pPr>
      <w:bookmarkStart w:id="10" w:name="_Toc31307"/>
      <w:r>
        <w:rPr>
          <w:rFonts w:hint="eastAsia" w:ascii="黑体" w:hAnsi="黑体" w:eastAsia="黑体"/>
          <w:sz w:val="32"/>
          <w:szCs w:val="32"/>
          <w:lang w:val="en-US" w:eastAsia="zh-CN"/>
        </w:rPr>
        <w:t>二、评价结论</w:t>
      </w:r>
      <w:bookmarkEnd w:id="10"/>
    </w:p>
    <w:p>
      <w:pPr>
        <w:pStyle w:val="3"/>
        <w:spacing w:before="0" w:after="0" w:line="240" w:lineRule="auto"/>
        <w:ind w:firstLine="640" w:firstLineChars="200"/>
        <w:rPr>
          <w:rFonts w:hint="default" w:ascii="楷体" w:hAnsi="楷体" w:eastAsia="楷体" w:cs="楷体"/>
          <w:b w:val="0"/>
          <w:bCs/>
          <w:highlight w:val="none"/>
          <w:lang w:val="en-US" w:eastAsia="zh-CN"/>
        </w:rPr>
      </w:pPr>
      <w:bookmarkStart w:id="11" w:name="_Toc2542"/>
      <w:r>
        <w:rPr>
          <w:rFonts w:hint="eastAsia" w:ascii="楷体" w:hAnsi="楷体" w:eastAsia="楷体" w:cs="楷体"/>
          <w:b w:val="0"/>
          <w:bCs/>
          <w:highlight w:val="none"/>
          <w:lang w:eastAsia="zh-CN"/>
        </w:rPr>
        <w:t>（</w:t>
      </w:r>
      <w:r>
        <w:rPr>
          <w:rFonts w:hint="eastAsia" w:ascii="楷体" w:hAnsi="楷体" w:eastAsia="楷体" w:cs="楷体"/>
          <w:b w:val="0"/>
          <w:bCs/>
          <w:highlight w:val="none"/>
          <w:lang w:val="en-US" w:eastAsia="zh-CN"/>
        </w:rPr>
        <w:t>一</w:t>
      </w:r>
      <w:r>
        <w:rPr>
          <w:rFonts w:hint="eastAsia" w:ascii="楷体" w:hAnsi="楷体" w:eastAsia="楷体" w:cs="楷体"/>
          <w:b w:val="0"/>
          <w:bCs/>
          <w:highlight w:val="none"/>
          <w:lang w:eastAsia="zh-CN"/>
        </w:rPr>
        <w:t>）</w:t>
      </w:r>
      <w:r>
        <w:rPr>
          <w:rFonts w:hint="eastAsia" w:ascii="楷体" w:hAnsi="楷体" w:eastAsia="楷体" w:cs="楷体"/>
          <w:b w:val="0"/>
          <w:bCs/>
          <w:highlight w:val="none"/>
          <w:lang w:val="en-US" w:eastAsia="zh-CN"/>
        </w:rPr>
        <w:t>评价对象与范围</w:t>
      </w:r>
      <w:bookmarkEnd w:id="11"/>
    </w:p>
    <w:p>
      <w:pPr>
        <w:spacing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rPr>
        <w:t>本次评价对象为202</w:t>
      </w:r>
      <w:r>
        <w:rPr>
          <w:rFonts w:hint="eastAsia" w:ascii="仿宋_GB2312" w:eastAsia="仿宋_GB2312"/>
          <w:sz w:val="32"/>
          <w:szCs w:val="32"/>
          <w:lang w:val="en-US" w:eastAsia="zh-CN"/>
        </w:rPr>
        <w:t>4</w:t>
      </w:r>
      <w:r>
        <w:rPr>
          <w:rFonts w:hint="eastAsia" w:ascii="仿宋_GB2312" w:eastAsia="仿宋_GB2312"/>
          <w:sz w:val="32"/>
          <w:szCs w:val="32"/>
        </w:rPr>
        <w:t>年度南京市公交企业运营补贴专项资金160,929.00</w:t>
      </w:r>
      <w:r>
        <w:rPr>
          <w:rFonts w:hint="eastAsia" w:ascii="仿宋_GB2312" w:eastAsia="仿宋_GB2312"/>
          <w:sz w:val="32"/>
          <w:szCs w:val="32"/>
          <w:lang w:val="en-US" w:eastAsia="zh-CN"/>
        </w:rPr>
        <w:t>万元。评价范围为</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年度南京市公交企业运营补贴专项资金的使用情况、项目管理情况、绩效目标完成情况等，重点评价项目</w:t>
      </w:r>
      <w:r>
        <w:rPr>
          <w:rFonts w:hint="eastAsia" w:ascii="仿宋_GB2312" w:eastAsia="仿宋_GB2312"/>
          <w:sz w:val="32"/>
          <w:szCs w:val="32"/>
          <w:lang w:val="en-US" w:eastAsia="zh-CN"/>
        </w:rPr>
        <w:t>决策、过程、产出、效益及满意度</w:t>
      </w:r>
      <w:r>
        <w:rPr>
          <w:rFonts w:hint="eastAsia" w:ascii="仿宋_GB2312" w:eastAsia="仿宋_GB2312"/>
          <w:sz w:val="32"/>
          <w:szCs w:val="32"/>
        </w:rPr>
        <w:t>等方面。</w:t>
      </w:r>
      <w:r>
        <w:rPr>
          <w:rFonts w:hint="eastAsia" w:ascii="仿宋_GB2312" w:eastAsia="仿宋_GB2312"/>
          <w:sz w:val="32"/>
          <w:szCs w:val="32"/>
          <w:lang w:val="en-US" w:eastAsia="zh-CN"/>
        </w:rPr>
        <w:t>评价周期为2024年1月1日至2024年12月31日。</w:t>
      </w:r>
    </w:p>
    <w:p>
      <w:pPr>
        <w:pStyle w:val="3"/>
        <w:spacing w:before="0" w:after="0" w:line="240" w:lineRule="auto"/>
        <w:ind w:firstLine="640" w:firstLineChars="200"/>
        <w:rPr>
          <w:rFonts w:hint="default" w:ascii="楷体" w:hAnsi="楷体" w:eastAsia="楷体" w:cs="楷体"/>
          <w:b w:val="0"/>
          <w:bCs/>
          <w:highlight w:val="none"/>
          <w:lang w:val="en-US" w:eastAsia="zh-CN"/>
        </w:rPr>
      </w:pPr>
      <w:bookmarkStart w:id="12" w:name="_Toc1389"/>
      <w:r>
        <w:rPr>
          <w:rFonts w:hint="eastAsia" w:ascii="楷体" w:hAnsi="楷体" w:eastAsia="楷体" w:cs="楷体"/>
          <w:b w:val="0"/>
          <w:bCs/>
          <w:highlight w:val="none"/>
          <w:lang w:eastAsia="zh-CN"/>
        </w:rPr>
        <w:t>（</w:t>
      </w:r>
      <w:r>
        <w:rPr>
          <w:rFonts w:hint="eastAsia" w:ascii="楷体" w:hAnsi="楷体" w:eastAsia="楷体" w:cs="楷体"/>
          <w:b w:val="0"/>
          <w:bCs/>
          <w:highlight w:val="none"/>
          <w:lang w:val="en-US" w:eastAsia="zh-CN"/>
        </w:rPr>
        <w:t>二</w:t>
      </w:r>
      <w:r>
        <w:rPr>
          <w:rFonts w:hint="eastAsia" w:ascii="楷体" w:hAnsi="楷体" w:eastAsia="楷体" w:cs="楷体"/>
          <w:b w:val="0"/>
          <w:bCs/>
          <w:highlight w:val="none"/>
          <w:lang w:eastAsia="zh-CN"/>
        </w:rPr>
        <w:t>）</w:t>
      </w:r>
      <w:r>
        <w:rPr>
          <w:rFonts w:hint="eastAsia" w:ascii="楷体" w:hAnsi="楷体" w:eastAsia="楷体" w:cs="楷体"/>
          <w:b w:val="0"/>
          <w:bCs/>
          <w:highlight w:val="none"/>
          <w:lang w:val="en-US" w:eastAsia="zh-CN"/>
        </w:rPr>
        <w:t>绩效评价结论</w:t>
      </w:r>
      <w:bookmarkEnd w:id="12"/>
    </w:p>
    <w:p>
      <w:pPr>
        <w:spacing w:line="360" w:lineRule="auto"/>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经综合评价，</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年度南京市公交企业运营补贴</w:t>
      </w:r>
      <w:r>
        <w:rPr>
          <w:rFonts w:hint="eastAsia" w:ascii="仿宋_GB2312" w:eastAsia="仿宋_GB2312"/>
          <w:sz w:val="32"/>
          <w:szCs w:val="32"/>
          <w:highlight w:val="none"/>
          <w:lang w:val="en-US" w:eastAsia="zh-CN"/>
        </w:rPr>
        <w:t>专项资金绩效评价得分</w:t>
      </w:r>
      <w:r>
        <w:rPr>
          <w:rFonts w:hint="eastAsia" w:ascii="仿宋_GB2312" w:eastAsia="仿宋_GB2312"/>
          <w:sz w:val="32"/>
          <w:szCs w:val="32"/>
          <w:highlight w:val="none"/>
        </w:rPr>
        <w:t>9</w:t>
      </w:r>
      <w:r>
        <w:rPr>
          <w:rFonts w:hint="eastAsia" w:ascii="仿宋_GB2312" w:eastAsia="仿宋_GB2312"/>
          <w:sz w:val="32"/>
          <w:szCs w:val="32"/>
          <w:highlight w:val="none"/>
          <w:lang w:val="en-US" w:eastAsia="zh-CN"/>
        </w:rPr>
        <w:t>1.50分，等级为“优”。整体而言，2024年度南京市公交企业运营补贴资金投入及时，资金管理较为规范，补贴范围及补贴标准明确，在市政府没有出台重大影响公交企业成本政策的情况下，基本控制了财政补贴大幅增长的势头，完成了年度绩效目标任务，保障了公交企业正常运行，满足了公众基本出行需求，为城市经济社会高质量发展注入了新动力，也为社会绿色出行提供了更优质的服务。但也存在公交企业运营补贴政策亟待更新、补贴资金预拨未清算、未及时下拨公交企业运营补贴、运营成本存在节约空间、个别指标实际完成值略低于目标值等问题，建议尽快出台新的公交企业运营补贴政策，及时拨付公交企业运营补贴资金，并对补贴资金进行清算，优化人员、车辆配置，降低运营成本，提升运营效率，提高公众满意度。</w:t>
      </w:r>
    </w:p>
    <w:p>
      <w:pPr>
        <w:spacing w:line="360" w:lineRule="auto"/>
        <w:ind w:firstLine="640" w:firstLineChars="200"/>
        <w:outlineLvl w:val="0"/>
        <w:rPr>
          <w:rFonts w:hint="default" w:ascii="黑体" w:hAnsi="黑体" w:eastAsia="黑体"/>
          <w:sz w:val="32"/>
          <w:szCs w:val="32"/>
          <w:highlight w:val="none"/>
          <w:lang w:val="en-US" w:eastAsia="zh-CN"/>
        </w:rPr>
      </w:pPr>
      <w:bookmarkStart w:id="13" w:name="_Toc17257"/>
      <w:r>
        <w:rPr>
          <w:rFonts w:hint="eastAsia" w:ascii="黑体" w:hAnsi="黑体" w:eastAsia="黑体"/>
          <w:sz w:val="32"/>
          <w:szCs w:val="32"/>
          <w:highlight w:val="none"/>
          <w:lang w:val="en-US" w:eastAsia="zh-CN"/>
        </w:rPr>
        <w:t>三、项目成效</w:t>
      </w:r>
      <w:bookmarkEnd w:id="13"/>
    </w:p>
    <w:p>
      <w:pPr>
        <w:keepNext/>
        <w:keepLines/>
        <w:pageBreakBefore w:val="0"/>
        <w:widowControl w:val="0"/>
        <w:kinsoku/>
        <w:wordWrap/>
        <w:overflowPunct/>
        <w:topLinePunct w:val="0"/>
        <w:autoSpaceDE/>
        <w:autoSpaceDN/>
        <w:bidi w:val="0"/>
        <w:adjustRightInd/>
        <w:snapToGrid/>
        <w:spacing w:before="0" w:after="0" w:line="360" w:lineRule="auto"/>
        <w:ind w:firstLine="640" w:firstLineChars="200"/>
        <w:textAlignment w:val="auto"/>
        <w:outlineLvl w:val="9"/>
        <w:rPr>
          <w:rFonts w:hint="eastAsia" w:ascii="楷体" w:hAnsi="楷体" w:eastAsia="楷体" w:cs="楷体"/>
          <w:b w:val="0"/>
          <w:kern w:val="2"/>
          <w:sz w:val="32"/>
          <w:szCs w:val="32"/>
          <w:highlight w:val="none"/>
          <w:lang w:val="en-US" w:eastAsia="zh-CN" w:bidi="ar-SA"/>
        </w:rPr>
      </w:pPr>
      <w:r>
        <w:rPr>
          <w:rFonts w:hint="eastAsia" w:ascii="楷体" w:hAnsi="楷体" w:eastAsia="楷体" w:cs="楷体"/>
          <w:b w:val="0"/>
          <w:kern w:val="2"/>
          <w:sz w:val="32"/>
          <w:szCs w:val="32"/>
          <w:highlight w:val="none"/>
          <w:lang w:val="en-US" w:eastAsia="zh-CN" w:bidi="ar-SA"/>
        </w:rPr>
        <w:t>（一）公交企业核心运营能力得到夯实，整体运行态势平稳向好</w:t>
      </w:r>
    </w:p>
    <w:p>
      <w:pPr>
        <w:spacing w:line="360" w:lineRule="auto"/>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rPr>
        <w:t>自疫情以来，市民出行方式多元化以及城市轨道交通成网成环，公交客运量难以恢复疫情前水平，但公交</w:t>
      </w:r>
      <w:r>
        <w:rPr>
          <w:rFonts w:hint="eastAsia" w:ascii="仿宋_GB2312" w:eastAsia="仿宋_GB2312"/>
          <w:sz w:val="32"/>
          <w:szCs w:val="32"/>
          <w:highlight w:val="none"/>
          <w:lang w:val="en-US" w:eastAsia="zh-CN"/>
        </w:rPr>
        <w:t>企业</w:t>
      </w:r>
      <w:r>
        <w:rPr>
          <w:rFonts w:hint="eastAsia" w:ascii="仿宋_GB2312" w:eastAsia="仿宋_GB2312"/>
          <w:sz w:val="32"/>
          <w:szCs w:val="32"/>
          <w:highlight w:val="none"/>
        </w:rPr>
        <w:t>通过自我改革，降本增效的同时不断提升服务质量，积极探索创新，着力拓展公交服务模式，推出</w:t>
      </w:r>
      <w:r>
        <w:rPr>
          <w:rFonts w:hint="eastAsia" w:ascii="仿宋_GB2312" w:eastAsia="仿宋_GB2312"/>
          <w:sz w:val="32"/>
          <w:szCs w:val="32"/>
          <w:highlight w:val="none"/>
          <w:lang w:val="en-US" w:eastAsia="zh-CN"/>
        </w:rPr>
        <w:t>各种新业态公交运营模式，增加公交业务主营收入，并</w:t>
      </w:r>
      <w:r>
        <w:rPr>
          <w:rFonts w:hint="eastAsia" w:ascii="仿宋_GB2312" w:eastAsia="仿宋_GB2312"/>
          <w:sz w:val="32"/>
          <w:szCs w:val="32"/>
          <w:highlight w:val="none"/>
        </w:rPr>
        <w:t>积极争取市场低成本融资降低财务费用，以预算为引领，控制各项成本支出</w:t>
      </w:r>
      <w:r>
        <w:rPr>
          <w:rFonts w:hint="eastAsia" w:ascii="仿宋_GB2312" w:eastAsia="仿宋_GB2312"/>
          <w:sz w:val="32"/>
          <w:szCs w:val="32"/>
          <w:highlight w:val="none"/>
          <w:lang w:eastAsia="zh-CN"/>
        </w:rPr>
        <w:t>，公交企业核心运营能力得到夯实，整体运行态势平稳向好</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具体运营情况如下：</w:t>
      </w:r>
    </w:p>
    <w:p>
      <w:pPr>
        <w:spacing w:line="360" w:lineRule="auto"/>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年度公交集团及所属公交企业主营业务收入比上年减少1,453.99万元，减幅为</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6%；其他业务收入比上年</w:t>
      </w:r>
      <w:r>
        <w:rPr>
          <w:rFonts w:hint="eastAsia" w:ascii="仿宋_GB2312" w:eastAsia="仿宋_GB2312"/>
          <w:sz w:val="32"/>
          <w:szCs w:val="32"/>
          <w:highlight w:val="none"/>
          <w:lang w:val="en-US" w:eastAsia="zh-CN"/>
        </w:rPr>
        <w:t>减少</w:t>
      </w:r>
      <w:r>
        <w:rPr>
          <w:rFonts w:hint="eastAsia" w:ascii="仿宋_GB2312" w:eastAsia="仿宋_GB2312"/>
          <w:sz w:val="32"/>
          <w:szCs w:val="32"/>
          <w:highlight w:val="none"/>
        </w:rPr>
        <w:t>8.27万元，</w:t>
      </w:r>
      <w:r>
        <w:rPr>
          <w:rFonts w:hint="eastAsia" w:ascii="仿宋_GB2312" w:eastAsia="仿宋_GB2312"/>
          <w:sz w:val="32"/>
          <w:szCs w:val="32"/>
          <w:highlight w:val="none"/>
          <w:lang w:val="en-US" w:eastAsia="zh-CN"/>
        </w:rPr>
        <w:t>减</w:t>
      </w:r>
      <w:r>
        <w:rPr>
          <w:rFonts w:hint="eastAsia" w:ascii="仿宋_GB2312" w:eastAsia="仿宋_GB2312"/>
          <w:sz w:val="32"/>
          <w:szCs w:val="32"/>
          <w:highlight w:val="none"/>
        </w:rPr>
        <w:t>幅为0.</w:t>
      </w:r>
      <w:r>
        <w:rPr>
          <w:rFonts w:hint="eastAsia" w:ascii="仿宋_GB2312" w:eastAsia="仿宋_GB2312"/>
          <w:sz w:val="32"/>
          <w:szCs w:val="32"/>
          <w:highlight w:val="none"/>
          <w:lang w:val="en-US" w:eastAsia="zh-CN"/>
        </w:rPr>
        <w:t>06</w:t>
      </w:r>
      <w:r>
        <w:rPr>
          <w:rFonts w:hint="eastAsia" w:ascii="仿宋_GB2312" w:eastAsia="仿宋_GB2312"/>
          <w:sz w:val="32"/>
          <w:szCs w:val="32"/>
          <w:highlight w:val="none"/>
        </w:rPr>
        <w:t>%；营业总收入比上年</w:t>
      </w:r>
      <w:r>
        <w:rPr>
          <w:rFonts w:hint="eastAsia" w:ascii="仿宋_GB2312" w:eastAsia="仿宋_GB2312"/>
          <w:sz w:val="32"/>
          <w:szCs w:val="32"/>
          <w:highlight w:val="none"/>
          <w:lang w:val="en-US" w:eastAsia="zh-CN"/>
        </w:rPr>
        <w:t>减少</w:t>
      </w:r>
      <w:r>
        <w:rPr>
          <w:rFonts w:hint="eastAsia" w:ascii="仿宋_GB2312" w:eastAsia="仿宋_GB2312"/>
          <w:sz w:val="32"/>
          <w:szCs w:val="32"/>
          <w:highlight w:val="none"/>
        </w:rPr>
        <w:t>1,428.59万元，</w:t>
      </w:r>
      <w:r>
        <w:rPr>
          <w:rFonts w:hint="eastAsia" w:ascii="仿宋_GB2312" w:eastAsia="仿宋_GB2312"/>
          <w:sz w:val="32"/>
          <w:szCs w:val="32"/>
          <w:highlight w:val="none"/>
          <w:lang w:val="en-US" w:eastAsia="zh-CN"/>
        </w:rPr>
        <w:t>减</w:t>
      </w:r>
      <w:r>
        <w:rPr>
          <w:rFonts w:hint="eastAsia" w:ascii="仿宋_GB2312" w:eastAsia="仿宋_GB2312"/>
          <w:sz w:val="32"/>
          <w:szCs w:val="32"/>
          <w:highlight w:val="none"/>
        </w:rPr>
        <w:t>幅为</w:t>
      </w:r>
      <w:r>
        <w:rPr>
          <w:rFonts w:hint="eastAsia" w:ascii="仿宋_GB2312" w:eastAsia="仿宋_GB2312"/>
          <w:sz w:val="32"/>
          <w:szCs w:val="32"/>
          <w:highlight w:val="none"/>
          <w:lang w:val="en-US" w:eastAsia="zh-CN"/>
        </w:rPr>
        <w:t>2.99%</w:t>
      </w:r>
      <w:r>
        <w:rPr>
          <w:rFonts w:hint="eastAsia" w:ascii="仿宋_GB2312" w:eastAsia="仿宋_GB2312"/>
          <w:sz w:val="32"/>
          <w:szCs w:val="32"/>
          <w:highlight w:val="none"/>
        </w:rPr>
        <w:t>；主营业务成本比上年</w:t>
      </w:r>
      <w:r>
        <w:rPr>
          <w:rFonts w:hint="eastAsia" w:ascii="仿宋_GB2312" w:eastAsia="仿宋_GB2312"/>
          <w:sz w:val="32"/>
          <w:szCs w:val="32"/>
          <w:highlight w:val="none"/>
          <w:lang w:val="en-US" w:eastAsia="zh-CN"/>
        </w:rPr>
        <w:t>减少</w:t>
      </w:r>
      <w:r>
        <w:rPr>
          <w:rFonts w:hint="eastAsia" w:ascii="仿宋_GB2312" w:eastAsia="仿宋_GB2312"/>
          <w:sz w:val="32"/>
          <w:szCs w:val="32"/>
          <w:highlight w:val="none"/>
        </w:rPr>
        <w:t xml:space="preserve"> 15,860.86万元，</w:t>
      </w:r>
      <w:r>
        <w:rPr>
          <w:rFonts w:hint="eastAsia" w:ascii="仿宋_GB2312" w:eastAsia="仿宋_GB2312"/>
          <w:sz w:val="32"/>
          <w:szCs w:val="32"/>
          <w:highlight w:val="none"/>
          <w:lang w:val="en-US" w:eastAsia="zh-CN"/>
        </w:rPr>
        <w:t>减</w:t>
      </w:r>
      <w:r>
        <w:rPr>
          <w:rFonts w:hint="eastAsia" w:ascii="仿宋_GB2312" w:eastAsia="仿宋_GB2312"/>
          <w:sz w:val="32"/>
          <w:szCs w:val="32"/>
          <w:highlight w:val="none"/>
        </w:rPr>
        <w:t>幅为</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95</w:t>
      </w:r>
      <w:r>
        <w:rPr>
          <w:rFonts w:hint="eastAsia" w:ascii="仿宋_GB2312" w:eastAsia="仿宋_GB2312"/>
          <w:sz w:val="32"/>
          <w:szCs w:val="32"/>
          <w:highlight w:val="none"/>
        </w:rPr>
        <w:t>%；期间费用比上年</w:t>
      </w:r>
      <w:r>
        <w:rPr>
          <w:rFonts w:hint="eastAsia" w:ascii="仿宋_GB2312" w:eastAsia="仿宋_GB2312"/>
          <w:sz w:val="32"/>
          <w:szCs w:val="32"/>
          <w:highlight w:val="none"/>
          <w:lang w:val="en-US" w:eastAsia="zh-CN"/>
        </w:rPr>
        <w:t>增加</w:t>
      </w:r>
      <w:r>
        <w:rPr>
          <w:rFonts w:hint="eastAsia" w:ascii="仿宋_GB2312" w:eastAsia="仿宋_GB2312"/>
          <w:sz w:val="32"/>
          <w:szCs w:val="32"/>
          <w:highlight w:val="none"/>
        </w:rPr>
        <w:t xml:space="preserve"> 2,003.93万元，</w:t>
      </w:r>
      <w:r>
        <w:rPr>
          <w:rFonts w:hint="eastAsia" w:ascii="仿宋_GB2312" w:eastAsia="仿宋_GB2312"/>
          <w:sz w:val="32"/>
          <w:szCs w:val="32"/>
          <w:highlight w:val="none"/>
          <w:lang w:val="en-US" w:eastAsia="zh-CN"/>
        </w:rPr>
        <w:t>增</w:t>
      </w:r>
      <w:r>
        <w:rPr>
          <w:rFonts w:hint="eastAsia" w:ascii="仿宋_GB2312" w:eastAsia="仿宋_GB2312"/>
          <w:sz w:val="32"/>
          <w:szCs w:val="32"/>
          <w:highlight w:val="none"/>
        </w:rPr>
        <w:t>幅为</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91</w:t>
      </w:r>
      <w:r>
        <w:rPr>
          <w:rFonts w:hint="eastAsia" w:ascii="仿宋_GB2312" w:eastAsia="仿宋_GB2312"/>
          <w:sz w:val="32"/>
          <w:szCs w:val="32"/>
          <w:highlight w:val="none"/>
        </w:rPr>
        <w:t>%；其他业务支出比上年增加  320.30万元，增幅为</w:t>
      </w:r>
      <w:r>
        <w:rPr>
          <w:rFonts w:hint="eastAsia" w:ascii="仿宋_GB2312" w:eastAsia="仿宋_GB2312"/>
          <w:sz w:val="32"/>
          <w:szCs w:val="32"/>
          <w:highlight w:val="none"/>
          <w:lang w:val="en-US" w:eastAsia="zh-CN"/>
        </w:rPr>
        <w:t>23.56%</w:t>
      </w:r>
      <w:r>
        <w:rPr>
          <w:rFonts w:hint="eastAsia" w:ascii="仿宋_GB2312" w:eastAsia="仿宋_GB2312"/>
          <w:sz w:val="32"/>
          <w:szCs w:val="32"/>
          <w:highlight w:val="none"/>
        </w:rPr>
        <w:t>；营业总成本比上年减少  13,536.62万元，减幅为</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63</w:t>
      </w:r>
      <w:r>
        <w:rPr>
          <w:rFonts w:hint="eastAsia" w:ascii="仿宋_GB2312" w:eastAsia="仿宋_GB2312"/>
          <w:sz w:val="32"/>
          <w:szCs w:val="32"/>
          <w:highlight w:val="none"/>
        </w:rPr>
        <w:t>%。详细情况见</w:t>
      </w:r>
      <w:r>
        <w:rPr>
          <w:rFonts w:hint="eastAsia" w:ascii="仿宋_GB2312" w:eastAsia="仿宋_GB2312"/>
          <w:sz w:val="32"/>
          <w:szCs w:val="32"/>
          <w:highlight w:val="none"/>
          <w:lang w:val="en-US" w:eastAsia="zh-CN"/>
        </w:rPr>
        <w:t>下</w:t>
      </w:r>
      <w:r>
        <w:rPr>
          <w:rFonts w:hint="eastAsia" w:ascii="仿宋_GB2312" w:eastAsia="仿宋_GB2312"/>
          <w:sz w:val="32"/>
          <w:szCs w:val="32"/>
          <w:highlight w:val="none"/>
        </w:rPr>
        <w:t>表二</w:t>
      </w:r>
      <w:r>
        <w:rPr>
          <w:rFonts w:hint="eastAsia" w:ascii="仿宋_GB2312" w:eastAsia="仿宋_GB2312"/>
          <w:sz w:val="32"/>
          <w:szCs w:val="32"/>
          <w:highlight w:val="none"/>
          <w:lang w:eastAsia="zh-CN"/>
        </w:rPr>
        <w:t>。</w:t>
      </w:r>
    </w:p>
    <w:p>
      <w:pPr>
        <w:spacing w:line="360" w:lineRule="auto"/>
        <w:jc w:val="center"/>
        <w:rPr>
          <w:rFonts w:ascii="仿宋_GB2312" w:hAnsi="仿宋" w:eastAsia="仿宋_GB2312"/>
          <w:b/>
          <w:bCs/>
          <w:sz w:val="28"/>
          <w:szCs w:val="28"/>
          <w:highlight w:val="none"/>
        </w:rPr>
      </w:pPr>
      <w:r>
        <w:rPr>
          <w:rFonts w:hint="eastAsia" w:ascii="仿宋_GB2312" w:hAnsi="仿宋" w:eastAsia="仿宋_GB2312"/>
          <w:b/>
          <w:bCs/>
          <w:sz w:val="28"/>
          <w:szCs w:val="28"/>
        </w:rPr>
        <w:t>表二：</w:t>
      </w:r>
      <w:r>
        <w:rPr>
          <w:rFonts w:hint="eastAsia" w:ascii="仿宋_GB2312" w:hAnsi="仿宋" w:eastAsia="仿宋_GB2312"/>
          <w:b/>
          <w:bCs/>
          <w:sz w:val="28"/>
          <w:szCs w:val="28"/>
          <w:highlight w:val="none"/>
        </w:rPr>
        <w:t>202</w:t>
      </w:r>
      <w:r>
        <w:rPr>
          <w:rFonts w:hint="eastAsia" w:ascii="仿宋_GB2312" w:hAnsi="仿宋" w:eastAsia="仿宋_GB2312"/>
          <w:b/>
          <w:bCs/>
          <w:sz w:val="28"/>
          <w:szCs w:val="28"/>
          <w:highlight w:val="none"/>
          <w:lang w:val="en-US" w:eastAsia="zh-CN"/>
        </w:rPr>
        <w:t>4</w:t>
      </w:r>
      <w:r>
        <w:rPr>
          <w:rFonts w:hint="eastAsia" w:ascii="仿宋_GB2312" w:hAnsi="仿宋" w:eastAsia="仿宋_GB2312"/>
          <w:b/>
          <w:bCs/>
          <w:sz w:val="28"/>
          <w:szCs w:val="28"/>
          <w:highlight w:val="none"/>
        </w:rPr>
        <w:t>年公交集团及所属公交企业营业收入及成本支出情况表</w:t>
      </w:r>
    </w:p>
    <w:p>
      <w:pPr>
        <w:ind w:firstLine="470" w:firstLineChars="196"/>
        <w:jc w:val="right"/>
        <w:rPr>
          <w:rFonts w:ascii="仿宋_GB2312" w:eastAsia="仿宋_GB2312" w:hAnsiTheme="minorEastAsia"/>
          <w:kern w:val="0"/>
          <w:sz w:val="24"/>
        </w:rPr>
      </w:pPr>
      <w:r>
        <w:rPr>
          <w:rFonts w:hint="eastAsia" w:ascii="仿宋_GB2312" w:eastAsia="仿宋_GB2312" w:hAnsiTheme="minorEastAsia"/>
          <w:kern w:val="0"/>
          <w:sz w:val="24"/>
        </w:rPr>
        <w:t>金额单位：万元</w:t>
      </w:r>
    </w:p>
    <w:tbl>
      <w:tblPr>
        <w:tblStyle w:val="9"/>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163"/>
        <w:gridCol w:w="1470"/>
        <w:gridCol w:w="1305"/>
        <w:gridCol w:w="147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51" w:type="dxa"/>
            <w:vAlign w:val="center"/>
          </w:tcPr>
          <w:p>
            <w:pPr>
              <w:widowControl/>
              <w:jc w:val="center"/>
              <w:rPr>
                <w:rFonts w:hint="eastAsia" w:ascii="仿宋_GB2312" w:eastAsia="仿宋_GB2312"/>
                <w:b/>
                <w:bCs/>
                <w:color w:val="000000"/>
                <w:kern w:val="0"/>
                <w:szCs w:val="21"/>
              </w:rPr>
            </w:pPr>
            <w:r>
              <w:rPr>
                <w:rFonts w:hint="eastAsia" w:ascii="仿宋_GB2312" w:eastAsia="仿宋_GB2312"/>
                <w:b/>
                <w:bCs/>
                <w:szCs w:val="21"/>
              </w:rPr>
              <w:t>序号</w:t>
            </w:r>
          </w:p>
        </w:tc>
        <w:tc>
          <w:tcPr>
            <w:tcW w:w="3163" w:type="dxa"/>
            <w:vAlign w:val="center"/>
          </w:tcPr>
          <w:p>
            <w:pPr>
              <w:widowControl/>
              <w:jc w:val="center"/>
              <w:rPr>
                <w:rFonts w:hint="eastAsia" w:ascii="仿宋_GB2312" w:eastAsia="仿宋_GB2312"/>
                <w:b/>
                <w:bCs/>
                <w:color w:val="000000"/>
                <w:kern w:val="0"/>
                <w:szCs w:val="21"/>
              </w:rPr>
            </w:pPr>
            <w:r>
              <w:rPr>
                <w:rFonts w:hint="eastAsia" w:ascii="仿宋_GB2312" w:eastAsia="仿宋_GB2312"/>
                <w:b/>
                <w:bCs/>
                <w:szCs w:val="21"/>
              </w:rPr>
              <w:t>项目</w:t>
            </w:r>
          </w:p>
        </w:tc>
        <w:tc>
          <w:tcPr>
            <w:tcW w:w="1470" w:type="dxa"/>
            <w:shd w:val="clear" w:color="auto" w:fill="auto"/>
            <w:vAlign w:val="center"/>
          </w:tcPr>
          <w:p>
            <w:pPr>
              <w:widowControl/>
              <w:jc w:val="center"/>
              <w:rPr>
                <w:rFonts w:hint="eastAsia" w:ascii="仿宋_GB2312" w:eastAsia="仿宋_GB2312"/>
                <w:b/>
                <w:bCs/>
                <w:color w:val="000000"/>
                <w:kern w:val="0"/>
                <w:szCs w:val="21"/>
              </w:rPr>
            </w:pPr>
            <w:r>
              <w:rPr>
                <w:rFonts w:hint="eastAsia" w:ascii="仿宋_GB2312" w:eastAsia="仿宋_GB2312"/>
                <w:b/>
                <w:bCs/>
                <w:szCs w:val="21"/>
              </w:rPr>
              <w:t>202</w:t>
            </w:r>
            <w:r>
              <w:rPr>
                <w:rFonts w:hint="eastAsia" w:ascii="仿宋_GB2312" w:eastAsia="仿宋_GB2312"/>
                <w:b/>
                <w:bCs/>
                <w:szCs w:val="21"/>
                <w:lang w:val="en-US" w:eastAsia="zh-CN"/>
              </w:rPr>
              <w:t>4</w:t>
            </w:r>
            <w:r>
              <w:rPr>
                <w:rFonts w:hint="eastAsia" w:ascii="仿宋_GB2312" w:eastAsia="仿宋_GB2312"/>
                <w:b/>
                <w:bCs/>
                <w:szCs w:val="21"/>
              </w:rPr>
              <w:t>年</w:t>
            </w:r>
          </w:p>
        </w:tc>
        <w:tc>
          <w:tcPr>
            <w:tcW w:w="1305" w:type="dxa"/>
            <w:shd w:val="clear" w:color="auto" w:fill="auto"/>
            <w:noWrap/>
            <w:vAlign w:val="center"/>
          </w:tcPr>
          <w:p>
            <w:pPr>
              <w:widowControl/>
              <w:jc w:val="center"/>
              <w:rPr>
                <w:rFonts w:hint="eastAsia" w:ascii="仿宋_GB2312" w:eastAsia="仿宋_GB2312"/>
                <w:b/>
                <w:bCs/>
                <w:color w:val="000000"/>
                <w:kern w:val="0"/>
                <w:szCs w:val="21"/>
              </w:rPr>
            </w:pPr>
            <w:r>
              <w:rPr>
                <w:rFonts w:hint="eastAsia" w:ascii="仿宋_GB2312" w:eastAsia="仿宋_GB2312"/>
                <w:b/>
                <w:bCs/>
                <w:szCs w:val="21"/>
              </w:rPr>
              <w:t>202</w:t>
            </w:r>
            <w:r>
              <w:rPr>
                <w:rFonts w:hint="eastAsia" w:ascii="仿宋_GB2312" w:eastAsia="仿宋_GB2312"/>
                <w:b/>
                <w:bCs/>
                <w:szCs w:val="21"/>
                <w:lang w:val="en-US" w:eastAsia="zh-CN"/>
              </w:rPr>
              <w:t>3</w:t>
            </w:r>
            <w:r>
              <w:rPr>
                <w:rFonts w:hint="eastAsia" w:ascii="仿宋_GB2312" w:eastAsia="仿宋_GB2312"/>
                <w:b/>
                <w:bCs/>
                <w:szCs w:val="21"/>
              </w:rPr>
              <w:t>年</w:t>
            </w:r>
          </w:p>
        </w:tc>
        <w:tc>
          <w:tcPr>
            <w:tcW w:w="1470" w:type="dxa"/>
            <w:shd w:val="clear" w:color="auto" w:fill="auto"/>
            <w:noWrap/>
            <w:vAlign w:val="center"/>
          </w:tcPr>
          <w:p>
            <w:pPr>
              <w:widowControl/>
              <w:jc w:val="center"/>
              <w:rPr>
                <w:rFonts w:hint="eastAsia" w:ascii="仿宋_GB2312" w:eastAsia="仿宋_GB2312"/>
                <w:b/>
                <w:bCs/>
                <w:color w:val="000000"/>
                <w:kern w:val="0"/>
                <w:szCs w:val="21"/>
              </w:rPr>
            </w:pPr>
            <w:r>
              <w:rPr>
                <w:rFonts w:hint="eastAsia" w:ascii="仿宋_GB2312" w:eastAsia="仿宋_GB2312"/>
                <w:b/>
                <w:bCs/>
                <w:szCs w:val="21"/>
              </w:rPr>
              <w:t>增减金额</w:t>
            </w:r>
          </w:p>
        </w:tc>
        <w:tc>
          <w:tcPr>
            <w:tcW w:w="1320" w:type="dxa"/>
            <w:vAlign w:val="center"/>
          </w:tcPr>
          <w:p>
            <w:pPr>
              <w:widowControl/>
              <w:jc w:val="center"/>
              <w:rPr>
                <w:rFonts w:hint="eastAsia" w:ascii="仿宋_GB2312" w:eastAsia="仿宋_GB2312"/>
                <w:b/>
                <w:bCs/>
                <w:color w:val="000000"/>
                <w:kern w:val="0"/>
                <w:szCs w:val="21"/>
              </w:rPr>
            </w:pPr>
            <w:r>
              <w:rPr>
                <w:rFonts w:hint="eastAsia" w:ascii="仿宋_GB2312" w:eastAsia="仿宋_GB2312"/>
                <w:b/>
                <w:bCs/>
                <w:szCs w:val="21"/>
              </w:rPr>
              <w:t>增减幅度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restart"/>
            <w:vAlign w:val="center"/>
          </w:tcPr>
          <w:p>
            <w:pPr>
              <w:widowControl/>
              <w:jc w:val="center"/>
              <w:rPr>
                <w:rFonts w:hint="eastAsia" w:ascii="仿宋_GB2312" w:eastAsia="仿宋_GB2312"/>
                <w:b/>
                <w:bCs/>
                <w:szCs w:val="21"/>
              </w:rPr>
            </w:pPr>
            <w:r>
              <w:rPr>
                <w:rFonts w:hint="eastAsia" w:ascii="仿宋_GB2312" w:eastAsia="仿宋_GB2312"/>
                <w:szCs w:val="21"/>
              </w:rPr>
              <w:t>1</w:t>
            </w:r>
          </w:p>
        </w:tc>
        <w:tc>
          <w:tcPr>
            <w:tcW w:w="3163" w:type="dxa"/>
            <w:vAlign w:val="center"/>
          </w:tcPr>
          <w:p>
            <w:pPr>
              <w:widowControl/>
              <w:jc w:val="left"/>
              <w:rPr>
                <w:rFonts w:hint="eastAsia" w:ascii="仿宋_GB2312" w:eastAsia="仿宋_GB2312"/>
                <w:b/>
                <w:bCs/>
                <w:szCs w:val="21"/>
              </w:rPr>
            </w:pPr>
            <w:r>
              <w:rPr>
                <w:rFonts w:hint="eastAsia" w:ascii="仿宋_GB2312" w:eastAsia="仿宋_GB2312"/>
                <w:kern w:val="0"/>
                <w:szCs w:val="21"/>
              </w:rPr>
              <w:t>主营业务收入</w:t>
            </w:r>
          </w:p>
        </w:tc>
        <w:tc>
          <w:tcPr>
            <w:tcW w:w="1470" w:type="dxa"/>
            <w:shd w:val="clear" w:color="auto" w:fill="auto"/>
            <w:vAlign w:val="center"/>
          </w:tcPr>
          <w:p>
            <w:pPr>
              <w:widowControl/>
              <w:jc w:val="right"/>
              <w:textAlignment w:val="center"/>
              <w:rPr>
                <w:rFonts w:hint="eastAsia" w:ascii="仿宋_GB2312" w:eastAsia="仿宋_GB2312"/>
                <w:b w:val="0"/>
                <w:bCs w:val="0"/>
                <w:szCs w:val="21"/>
              </w:rPr>
            </w:pPr>
            <w:r>
              <w:rPr>
                <w:rFonts w:hint="eastAsia" w:ascii="仿宋_GB2312" w:eastAsia="仿宋_GB2312"/>
                <w:b w:val="0"/>
                <w:bCs w:val="0"/>
                <w:szCs w:val="21"/>
              </w:rPr>
              <w:t xml:space="preserve"> 31,144.44 </w:t>
            </w:r>
          </w:p>
        </w:tc>
        <w:tc>
          <w:tcPr>
            <w:tcW w:w="1305" w:type="dxa"/>
            <w:shd w:val="clear" w:color="auto" w:fill="auto"/>
            <w:noWrap/>
            <w:vAlign w:val="center"/>
          </w:tcPr>
          <w:p>
            <w:pPr>
              <w:widowControl/>
              <w:jc w:val="right"/>
              <w:textAlignment w:val="center"/>
              <w:rPr>
                <w:rFonts w:hint="eastAsia" w:ascii="仿宋_GB2312" w:eastAsia="仿宋_GB2312"/>
                <w:b w:val="0"/>
                <w:bCs w:val="0"/>
                <w:szCs w:val="21"/>
              </w:rPr>
            </w:pPr>
            <w:r>
              <w:rPr>
                <w:rFonts w:hint="eastAsia" w:ascii="仿宋_GB2312" w:eastAsia="仿宋_GB2312"/>
                <w:b w:val="0"/>
                <w:bCs w:val="0"/>
                <w:szCs w:val="21"/>
              </w:rPr>
              <w:t>32,598.43</w:t>
            </w:r>
          </w:p>
        </w:tc>
        <w:tc>
          <w:tcPr>
            <w:tcW w:w="1470" w:type="dxa"/>
            <w:shd w:val="clear" w:color="auto" w:fill="auto"/>
            <w:noWrap/>
            <w:vAlign w:val="center"/>
          </w:tcPr>
          <w:p>
            <w:pPr>
              <w:keepNext w:val="0"/>
              <w:keepLines w:val="0"/>
              <w:widowControl/>
              <w:suppressLineNumbers w:val="0"/>
              <w:jc w:val="right"/>
              <w:textAlignment w:val="center"/>
              <w:rPr>
                <w:rFonts w:hint="eastAsia" w:ascii="仿宋_GB2312" w:eastAsia="仿宋_GB2312"/>
                <w:b w:val="0"/>
                <w:bCs w:val="0"/>
                <w:szCs w:val="21"/>
              </w:rPr>
            </w:pPr>
            <w:r>
              <w:rPr>
                <w:rFonts w:hint="eastAsia" w:ascii="仿宋_GB2312" w:hAnsi="宋体" w:eastAsia="仿宋_GB2312" w:cs="仿宋_GB2312"/>
                <w:i w:val="0"/>
                <w:iCs w:val="0"/>
                <w:color w:val="000000"/>
                <w:kern w:val="0"/>
                <w:sz w:val="21"/>
                <w:szCs w:val="21"/>
                <w:u w:val="none"/>
                <w:lang w:val="en-US" w:eastAsia="zh-CN" w:bidi="ar"/>
              </w:rPr>
              <w:t xml:space="preserve"> -1,453.99 </w:t>
            </w:r>
          </w:p>
        </w:tc>
        <w:tc>
          <w:tcPr>
            <w:tcW w:w="1320" w:type="dxa"/>
            <w:vAlign w:val="center"/>
          </w:tcPr>
          <w:p>
            <w:pPr>
              <w:keepNext w:val="0"/>
              <w:keepLines w:val="0"/>
              <w:widowControl/>
              <w:suppressLineNumbers w:val="0"/>
              <w:jc w:val="right"/>
              <w:textAlignment w:val="center"/>
              <w:rPr>
                <w:rFonts w:hint="eastAsia" w:ascii="仿宋_GB2312" w:eastAsia="仿宋_GB2312"/>
                <w:b w:val="0"/>
                <w:bCs w:val="0"/>
                <w:szCs w:val="21"/>
              </w:rPr>
            </w:pPr>
            <w:r>
              <w:rPr>
                <w:rFonts w:hint="eastAsia" w:ascii="仿宋_GB2312" w:hAnsi="宋体" w:eastAsia="仿宋_GB2312" w:cs="仿宋_GB2312"/>
                <w:i w:val="0"/>
                <w:iCs w:val="0"/>
                <w:color w:val="000000"/>
                <w:kern w:val="0"/>
                <w:sz w:val="21"/>
                <w:szCs w:val="21"/>
                <w:u w:val="none"/>
                <w:lang w:val="en-US" w:eastAsia="zh-CN" w:bidi="ar"/>
              </w:rPr>
              <w:t>-4.46%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pPr>
              <w:widowControl/>
              <w:jc w:val="center"/>
              <w:rPr>
                <w:rFonts w:hint="eastAsia" w:ascii="仿宋_GB2312" w:eastAsia="仿宋_GB2312"/>
                <w:b/>
                <w:bCs/>
                <w:szCs w:val="21"/>
              </w:rPr>
            </w:pPr>
          </w:p>
        </w:tc>
        <w:tc>
          <w:tcPr>
            <w:tcW w:w="3163" w:type="dxa"/>
            <w:vAlign w:val="center"/>
          </w:tcPr>
          <w:p>
            <w:pPr>
              <w:widowControl/>
              <w:jc w:val="left"/>
              <w:rPr>
                <w:rFonts w:hint="eastAsia" w:ascii="仿宋_GB2312" w:eastAsia="仿宋_GB2312"/>
                <w:b/>
                <w:bCs/>
                <w:szCs w:val="21"/>
              </w:rPr>
            </w:pPr>
            <w:r>
              <w:rPr>
                <w:rFonts w:hint="eastAsia" w:ascii="仿宋_GB2312" w:eastAsia="仿宋_GB2312"/>
                <w:kern w:val="0"/>
                <w:szCs w:val="21"/>
              </w:rPr>
              <w:t>其中：投币收入</w:t>
            </w:r>
          </w:p>
        </w:tc>
        <w:tc>
          <w:tcPr>
            <w:tcW w:w="1470" w:type="dxa"/>
            <w:shd w:val="clear" w:color="auto" w:fill="auto"/>
            <w:vAlign w:val="center"/>
          </w:tcPr>
          <w:p>
            <w:pPr>
              <w:widowControl/>
              <w:jc w:val="right"/>
              <w:textAlignment w:val="center"/>
              <w:rPr>
                <w:rFonts w:hint="eastAsia" w:ascii="仿宋_GB2312" w:eastAsia="仿宋_GB2312"/>
                <w:b w:val="0"/>
                <w:bCs w:val="0"/>
                <w:szCs w:val="21"/>
              </w:rPr>
            </w:pPr>
            <w:r>
              <w:rPr>
                <w:rFonts w:hint="eastAsia" w:ascii="仿宋_GB2312" w:eastAsia="仿宋_GB2312"/>
                <w:b w:val="0"/>
                <w:bCs w:val="0"/>
                <w:szCs w:val="21"/>
              </w:rPr>
              <w:t xml:space="preserve"> 1,569.21 </w:t>
            </w:r>
          </w:p>
        </w:tc>
        <w:tc>
          <w:tcPr>
            <w:tcW w:w="1305" w:type="dxa"/>
            <w:shd w:val="clear" w:color="auto" w:fill="auto"/>
            <w:noWrap/>
            <w:vAlign w:val="center"/>
          </w:tcPr>
          <w:p>
            <w:pPr>
              <w:widowControl/>
              <w:jc w:val="right"/>
              <w:textAlignment w:val="center"/>
              <w:rPr>
                <w:rFonts w:hint="eastAsia" w:ascii="仿宋_GB2312" w:eastAsia="仿宋_GB2312"/>
                <w:b w:val="0"/>
                <w:bCs w:val="0"/>
                <w:szCs w:val="21"/>
              </w:rPr>
            </w:pPr>
            <w:r>
              <w:rPr>
                <w:rFonts w:hint="eastAsia" w:ascii="仿宋_GB2312" w:eastAsia="仿宋_GB2312"/>
                <w:b w:val="0"/>
                <w:bCs w:val="0"/>
                <w:szCs w:val="21"/>
              </w:rPr>
              <w:t>1,824.63</w:t>
            </w:r>
          </w:p>
        </w:tc>
        <w:tc>
          <w:tcPr>
            <w:tcW w:w="1470" w:type="dxa"/>
            <w:shd w:val="clear" w:color="auto" w:fill="auto"/>
            <w:noWrap/>
            <w:vAlign w:val="center"/>
          </w:tcPr>
          <w:p>
            <w:pPr>
              <w:keepNext w:val="0"/>
              <w:keepLines w:val="0"/>
              <w:widowControl/>
              <w:suppressLineNumbers w:val="0"/>
              <w:jc w:val="right"/>
              <w:textAlignment w:val="center"/>
              <w:rPr>
                <w:rFonts w:hint="eastAsia" w:ascii="仿宋_GB2312" w:eastAsia="仿宋_GB2312"/>
                <w:b w:val="0"/>
                <w:bCs w:val="0"/>
                <w:szCs w:val="21"/>
              </w:rPr>
            </w:pPr>
            <w:r>
              <w:rPr>
                <w:rFonts w:hint="eastAsia" w:ascii="仿宋_GB2312" w:hAnsi="宋体" w:eastAsia="仿宋_GB2312" w:cs="仿宋_GB2312"/>
                <w:i w:val="0"/>
                <w:iCs w:val="0"/>
                <w:color w:val="000000"/>
                <w:kern w:val="0"/>
                <w:sz w:val="21"/>
                <w:szCs w:val="21"/>
                <w:u w:val="none"/>
                <w:lang w:val="en-US" w:eastAsia="zh-CN" w:bidi="ar"/>
              </w:rPr>
              <w:t xml:space="preserve"> -255.42 </w:t>
            </w:r>
          </w:p>
        </w:tc>
        <w:tc>
          <w:tcPr>
            <w:tcW w:w="1320" w:type="dxa"/>
            <w:vAlign w:val="center"/>
          </w:tcPr>
          <w:p>
            <w:pPr>
              <w:keepNext w:val="0"/>
              <w:keepLines w:val="0"/>
              <w:widowControl/>
              <w:suppressLineNumbers w:val="0"/>
              <w:jc w:val="right"/>
              <w:textAlignment w:val="center"/>
              <w:rPr>
                <w:rFonts w:hint="eastAsia" w:ascii="仿宋_GB2312" w:eastAsia="仿宋_GB2312"/>
                <w:b w:val="0"/>
                <w:bCs w:val="0"/>
                <w:szCs w:val="21"/>
              </w:rPr>
            </w:pPr>
            <w:r>
              <w:rPr>
                <w:rFonts w:hint="eastAsia" w:ascii="仿宋_GB2312" w:hAnsi="宋体" w:eastAsia="仿宋_GB2312" w:cs="仿宋_GB2312"/>
                <w:i w:val="0"/>
                <w:iCs w:val="0"/>
                <w:color w:val="000000"/>
                <w:kern w:val="0"/>
                <w:sz w:val="21"/>
                <w:szCs w:val="21"/>
                <w:u w:val="none"/>
                <w:lang w:val="en-US" w:eastAsia="zh-CN" w:bidi="ar"/>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pPr>
              <w:widowControl/>
              <w:jc w:val="center"/>
              <w:rPr>
                <w:rFonts w:hint="eastAsia" w:ascii="仿宋_GB2312" w:eastAsia="仿宋_GB2312"/>
                <w:b/>
                <w:bCs/>
                <w:szCs w:val="21"/>
              </w:rPr>
            </w:pPr>
          </w:p>
        </w:tc>
        <w:tc>
          <w:tcPr>
            <w:tcW w:w="3163" w:type="dxa"/>
            <w:vAlign w:val="center"/>
          </w:tcPr>
          <w:p>
            <w:pPr>
              <w:widowControl/>
              <w:ind w:firstLine="630" w:firstLineChars="300"/>
              <w:jc w:val="left"/>
              <w:rPr>
                <w:rFonts w:hint="eastAsia" w:ascii="仿宋_GB2312" w:eastAsia="仿宋_GB2312"/>
                <w:b/>
                <w:bCs/>
                <w:szCs w:val="21"/>
              </w:rPr>
            </w:pPr>
            <w:r>
              <w:rPr>
                <w:rFonts w:hint="eastAsia" w:ascii="仿宋_GB2312" w:eastAsia="仿宋_GB2312"/>
                <w:kern w:val="0"/>
                <w:szCs w:val="21"/>
              </w:rPr>
              <w:t>IC卡收入</w:t>
            </w:r>
          </w:p>
        </w:tc>
        <w:tc>
          <w:tcPr>
            <w:tcW w:w="1470" w:type="dxa"/>
            <w:shd w:val="clear" w:color="auto" w:fill="auto"/>
            <w:vAlign w:val="center"/>
          </w:tcPr>
          <w:p>
            <w:pPr>
              <w:widowControl/>
              <w:jc w:val="right"/>
              <w:textAlignment w:val="center"/>
              <w:rPr>
                <w:rFonts w:hint="eastAsia" w:ascii="仿宋_GB2312" w:eastAsia="仿宋_GB2312"/>
                <w:b w:val="0"/>
                <w:bCs w:val="0"/>
                <w:szCs w:val="21"/>
              </w:rPr>
            </w:pPr>
            <w:r>
              <w:rPr>
                <w:rFonts w:hint="eastAsia" w:ascii="仿宋_GB2312" w:eastAsia="仿宋_GB2312"/>
                <w:b w:val="0"/>
                <w:bCs w:val="0"/>
                <w:szCs w:val="21"/>
              </w:rPr>
              <w:t xml:space="preserve"> 19,025.32 </w:t>
            </w:r>
          </w:p>
        </w:tc>
        <w:tc>
          <w:tcPr>
            <w:tcW w:w="1305" w:type="dxa"/>
            <w:shd w:val="clear" w:color="auto" w:fill="auto"/>
            <w:noWrap/>
            <w:vAlign w:val="center"/>
          </w:tcPr>
          <w:p>
            <w:pPr>
              <w:widowControl/>
              <w:jc w:val="right"/>
              <w:textAlignment w:val="center"/>
              <w:rPr>
                <w:rFonts w:hint="eastAsia" w:ascii="仿宋_GB2312" w:eastAsia="仿宋_GB2312"/>
                <w:b w:val="0"/>
                <w:bCs w:val="0"/>
                <w:szCs w:val="21"/>
              </w:rPr>
            </w:pPr>
            <w:r>
              <w:rPr>
                <w:rFonts w:hint="eastAsia" w:ascii="仿宋_GB2312" w:eastAsia="仿宋_GB2312"/>
                <w:b w:val="0"/>
                <w:bCs w:val="0"/>
                <w:szCs w:val="21"/>
              </w:rPr>
              <w:t>19,534.09</w:t>
            </w:r>
          </w:p>
        </w:tc>
        <w:tc>
          <w:tcPr>
            <w:tcW w:w="1470" w:type="dxa"/>
            <w:shd w:val="clear" w:color="auto" w:fill="auto"/>
            <w:noWrap/>
            <w:vAlign w:val="center"/>
          </w:tcPr>
          <w:p>
            <w:pPr>
              <w:keepNext w:val="0"/>
              <w:keepLines w:val="0"/>
              <w:widowControl/>
              <w:suppressLineNumbers w:val="0"/>
              <w:jc w:val="right"/>
              <w:textAlignment w:val="center"/>
              <w:rPr>
                <w:rFonts w:hint="eastAsia" w:ascii="仿宋_GB2312" w:eastAsia="仿宋_GB2312"/>
                <w:b w:val="0"/>
                <w:bCs w:val="0"/>
                <w:szCs w:val="21"/>
              </w:rPr>
            </w:pPr>
            <w:r>
              <w:rPr>
                <w:rFonts w:hint="eastAsia" w:ascii="仿宋_GB2312" w:hAnsi="宋体" w:eastAsia="仿宋_GB2312" w:cs="仿宋_GB2312"/>
                <w:i w:val="0"/>
                <w:iCs w:val="0"/>
                <w:color w:val="000000"/>
                <w:kern w:val="0"/>
                <w:sz w:val="21"/>
                <w:szCs w:val="21"/>
                <w:u w:val="none"/>
                <w:lang w:val="en-US" w:eastAsia="zh-CN" w:bidi="ar"/>
              </w:rPr>
              <w:t xml:space="preserve"> -508.77 </w:t>
            </w:r>
          </w:p>
        </w:tc>
        <w:tc>
          <w:tcPr>
            <w:tcW w:w="1320" w:type="dxa"/>
            <w:vAlign w:val="center"/>
          </w:tcPr>
          <w:p>
            <w:pPr>
              <w:keepNext w:val="0"/>
              <w:keepLines w:val="0"/>
              <w:widowControl/>
              <w:suppressLineNumbers w:val="0"/>
              <w:jc w:val="right"/>
              <w:textAlignment w:val="center"/>
              <w:rPr>
                <w:rFonts w:hint="eastAsia" w:ascii="仿宋_GB2312" w:eastAsia="仿宋_GB2312"/>
                <w:b w:val="0"/>
                <w:bCs w:val="0"/>
                <w:szCs w:val="21"/>
              </w:rPr>
            </w:pPr>
            <w:r>
              <w:rPr>
                <w:rFonts w:hint="eastAsia" w:ascii="仿宋_GB2312" w:hAnsi="宋体" w:eastAsia="仿宋_GB2312" w:cs="仿宋_GB2312"/>
                <w:i w:val="0"/>
                <w:iCs w:val="0"/>
                <w:color w:val="000000"/>
                <w:kern w:val="0"/>
                <w:sz w:val="21"/>
                <w:szCs w:val="21"/>
                <w:u w:val="none"/>
                <w:lang w:val="en-US" w:eastAsia="zh-CN" w:bidi="ar"/>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pPr>
              <w:widowControl/>
              <w:jc w:val="center"/>
              <w:rPr>
                <w:rFonts w:hint="eastAsia" w:ascii="仿宋_GB2312" w:eastAsia="仿宋_GB2312"/>
                <w:b/>
                <w:bCs/>
                <w:szCs w:val="21"/>
              </w:rPr>
            </w:pPr>
          </w:p>
        </w:tc>
        <w:tc>
          <w:tcPr>
            <w:tcW w:w="3163" w:type="dxa"/>
            <w:vAlign w:val="center"/>
          </w:tcPr>
          <w:p>
            <w:pPr>
              <w:widowControl/>
              <w:ind w:firstLine="630" w:firstLineChars="300"/>
              <w:jc w:val="left"/>
              <w:rPr>
                <w:rFonts w:hint="eastAsia" w:ascii="仿宋_GB2312" w:eastAsia="仿宋_GB2312"/>
                <w:b/>
                <w:bCs/>
                <w:szCs w:val="21"/>
              </w:rPr>
            </w:pPr>
            <w:r>
              <w:rPr>
                <w:rFonts w:hint="eastAsia" w:ascii="仿宋_GB2312" w:eastAsia="仿宋_GB2312"/>
                <w:kern w:val="0"/>
                <w:szCs w:val="21"/>
              </w:rPr>
              <w:t>包车收入</w:t>
            </w:r>
          </w:p>
        </w:tc>
        <w:tc>
          <w:tcPr>
            <w:tcW w:w="1470" w:type="dxa"/>
            <w:shd w:val="clear" w:color="auto" w:fill="auto"/>
            <w:vAlign w:val="center"/>
          </w:tcPr>
          <w:p>
            <w:pPr>
              <w:widowControl/>
              <w:jc w:val="right"/>
              <w:textAlignment w:val="center"/>
              <w:rPr>
                <w:rFonts w:hint="eastAsia" w:ascii="仿宋_GB2312" w:eastAsia="仿宋_GB2312"/>
                <w:b w:val="0"/>
                <w:bCs w:val="0"/>
                <w:szCs w:val="21"/>
              </w:rPr>
            </w:pPr>
            <w:r>
              <w:rPr>
                <w:rFonts w:hint="eastAsia" w:ascii="仿宋_GB2312" w:eastAsia="仿宋_GB2312"/>
                <w:b w:val="0"/>
                <w:bCs w:val="0"/>
                <w:szCs w:val="21"/>
              </w:rPr>
              <w:t xml:space="preserve"> 1,749.25 </w:t>
            </w:r>
          </w:p>
        </w:tc>
        <w:tc>
          <w:tcPr>
            <w:tcW w:w="1305" w:type="dxa"/>
            <w:shd w:val="clear" w:color="auto" w:fill="auto"/>
            <w:noWrap/>
            <w:vAlign w:val="center"/>
          </w:tcPr>
          <w:p>
            <w:pPr>
              <w:widowControl/>
              <w:jc w:val="right"/>
              <w:textAlignment w:val="center"/>
              <w:rPr>
                <w:rFonts w:hint="eastAsia" w:ascii="仿宋_GB2312" w:eastAsia="仿宋_GB2312"/>
                <w:b w:val="0"/>
                <w:bCs w:val="0"/>
                <w:szCs w:val="21"/>
              </w:rPr>
            </w:pPr>
            <w:r>
              <w:rPr>
                <w:rFonts w:hint="eastAsia" w:ascii="仿宋_GB2312" w:eastAsia="仿宋_GB2312"/>
                <w:b w:val="0"/>
                <w:bCs w:val="0"/>
                <w:szCs w:val="21"/>
              </w:rPr>
              <w:t>1,729.35</w:t>
            </w:r>
          </w:p>
        </w:tc>
        <w:tc>
          <w:tcPr>
            <w:tcW w:w="1470" w:type="dxa"/>
            <w:shd w:val="clear" w:color="auto" w:fill="auto"/>
            <w:noWrap/>
            <w:vAlign w:val="center"/>
          </w:tcPr>
          <w:p>
            <w:pPr>
              <w:keepNext w:val="0"/>
              <w:keepLines w:val="0"/>
              <w:widowControl/>
              <w:suppressLineNumbers w:val="0"/>
              <w:jc w:val="right"/>
              <w:textAlignment w:val="center"/>
              <w:rPr>
                <w:rFonts w:hint="eastAsia" w:ascii="仿宋_GB2312" w:eastAsia="仿宋_GB2312"/>
                <w:b w:val="0"/>
                <w:bCs w:val="0"/>
                <w:szCs w:val="21"/>
              </w:rPr>
            </w:pPr>
            <w:r>
              <w:rPr>
                <w:rFonts w:hint="eastAsia" w:ascii="仿宋_GB2312" w:hAnsi="宋体" w:eastAsia="仿宋_GB2312" w:cs="仿宋_GB2312"/>
                <w:i w:val="0"/>
                <w:iCs w:val="0"/>
                <w:color w:val="000000"/>
                <w:kern w:val="0"/>
                <w:sz w:val="21"/>
                <w:szCs w:val="21"/>
                <w:u w:val="none"/>
                <w:lang w:val="en-US" w:eastAsia="zh-CN" w:bidi="ar"/>
              </w:rPr>
              <w:t xml:space="preserve"> 19.90 </w:t>
            </w:r>
          </w:p>
        </w:tc>
        <w:tc>
          <w:tcPr>
            <w:tcW w:w="1320" w:type="dxa"/>
            <w:vAlign w:val="center"/>
          </w:tcPr>
          <w:p>
            <w:pPr>
              <w:keepNext w:val="0"/>
              <w:keepLines w:val="0"/>
              <w:widowControl/>
              <w:suppressLineNumbers w:val="0"/>
              <w:jc w:val="right"/>
              <w:textAlignment w:val="center"/>
              <w:rPr>
                <w:rFonts w:hint="eastAsia" w:ascii="仿宋_GB2312" w:eastAsia="仿宋_GB2312"/>
                <w:b w:val="0"/>
                <w:bCs w:val="0"/>
                <w:szCs w:val="21"/>
              </w:rPr>
            </w:pPr>
            <w:r>
              <w:rPr>
                <w:rFonts w:hint="eastAsia" w:ascii="仿宋_GB2312" w:hAnsi="宋体" w:eastAsia="仿宋_GB2312" w:cs="仿宋_GB2312"/>
                <w:i w:val="0"/>
                <w:iCs w:val="0"/>
                <w:color w:val="000000"/>
                <w:kern w:val="0"/>
                <w:sz w:val="21"/>
                <w:szCs w:val="21"/>
                <w:u w:val="none"/>
                <w:lang w:val="en-US" w:eastAsia="zh-CN" w:bidi="ar"/>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pPr>
              <w:widowControl/>
              <w:jc w:val="center"/>
              <w:rPr>
                <w:rFonts w:hint="eastAsia" w:ascii="仿宋_GB2312" w:eastAsia="仿宋_GB2312"/>
                <w:b/>
                <w:bCs/>
                <w:szCs w:val="21"/>
              </w:rPr>
            </w:pPr>
          </w:p>
        </w:tc>
        <w:tc>
          <w:tcPr>
            <w:tcW w:w="3163" w:type="dxa"/>
            <w:vAlign w:val="center"/>
          </w:tcPr>
          <w:p>
            <w:pPr>
              <w:widowControl/>
              <w:ind w:firstLine="630" w:firstLineChars="300"/>
              <w:jc w:val="left"/>
              <w:rPr>
                <w:rFonts w:hint="eastAsia" w:ascii="仿宋_GB2312" w:eastAsia="仿宋_GB2312"/>
                <w:b/>
                <w:bCs/>
                <w:szCs w:val="21"/>
              </w:rPr>
            </w:pPr>
            <w:r>
              <w:rPr>
                <w:rFonts w:hint="eastAsia" w:ascii="仿宋_GB2312" w:eastAsia="仿宋_GB2312"/>
                <w:kern w:val="0"/>
                <w:szCs w:val="21"/>
              </w:rPr>
              <w:t>支付宝</w:t>
            </w:r>
          </w:p>
        </w:tc>
        <w:tc>
          <w:tcPr>
            <w:tcW w:w="1470" w:type="dxa"/>
            <w:shd w:val="clear" w:color="auto" w:fill="auto"/>
            <w:vAlign w:val="center"/>
          </w:tcPr>
          <w:p>
            <w:pPr>
              <w:widowControl/>
              <w:jc w:val="right"/>
              <w:textAlignment w:val="center"/>
              <w:rPr>
                <w:rFonts w:hint="eastAsia" w:ascii="仿宋_GB2312" w:eastAsia="仿宋_GB2312"/>
                <w:b w:val="0"/>
                <w:bCs w:val="0"/>
                <w:szCs w:val="21"/>
              </w:rPr>
            </w:pPr>
            <w:r>
              <w:rPr>
                <w:rFonts w:hint="eastAsia" w:ascii="仿宋_GB2312" w:eastAsia="仿宋_GB2312"/>
                <w:b w:val="0"/>
                <w:bCs w:val="0"/>
                <w:szCs w:val="21"/>
              </w:rPr>
              <w:t xml:space="preserve"> 7,488.08 </w:t>
            </w:r>
          </w:p>
        </w:tc>
        <w:tc>
          <w:tcPr>
            <w:tcW w:w="1305" w:type="dxa"/>
            <w:shd w:val="clear" w:color="auto" w:fill="auto"/>
            <w:noWrap/>
            <w:vAlign w:val="center"/>
          </w:tcPr>
          <w:p>
            <w:pPr>
              <w:widowControl/>
              <w:jc w:val="right"/>
              <w:textAlignment w:val="center"/>
              <w:rPr>
                <w:rFonts w:hint="eastAsia" w:ascii="仿宋_GB2312" w:eastAsia="仿宋_GB2312"/>
                <w:b w:val="0"/>
                <w:bCs w:val="0"/>
                <w:szCs w:val="21"/>
              </w:rPr>
            </w:pPr>
            <w:r>
              <w:rPr>
                <w:rFonts w:hint="eastAsia" w:ascii="仿宋_GB2312" w:eastAsia="仿宋_GB2312"/>
                <w:b w:val="0"/>
                <w:bCs w:val="0"/>
                <w:szCs w:val="21"/>
              </w:rPr>
              <w:t>9,115.65</w:t>
            </w:r>
          </w:p>
        </w:tc>
        <w:tc>
          <w:tcPr>
            <w:tcW w:w="1470" w:type="dxa"/>
            <w:shd w:val="clear" w:color="auto" w:fill="auto"/>
            <w:noWrap/>
            <w:vAlign w:val="center"/>
          </w:tcPr>
          <w:p>
            <w:pPr>
              <w:keepNext w:val="0"/>
              <w:keepLines w:val="0"/>
              <w:widowControl/>
              <w:suppressLineNumbers w:val="0"/>
              <w:jc w:val="right"/>
              <w:textAlignment w:val="center"/>
              <w:rPr>
                <w:rFonts w:hint="eastAsia" w:ascii="仿宋_GB2312" w:eastAsia="仿宋_GB2312"/>
                <w:b w:val="0"/>
                <w:bCs w:val="0"/>
                <w:szCs w:val="21"/>
              </w:rPr>
            </w:pPr>
            <w:r>
              <w:rPr>
                <w:rFonts w:hint="eastAsia" w:ascii="仿宋_GB2312" w:hAnsi="宋体" w:eastAsia="仿宋_GB2312" w:cs="仿宋_GB2312"/>
                <w:i w:val="0"/>
                <w:iCs w:val="0"/>
                <w:color w:val="000000"/>
                <w:kern w:val="0"/>
                <w:sz w:val="21"/>
                <w:szCs w:val="21"/>
                <w:u w:val="none"/>
                <w:lang w:val="en-US" w:eastAsia="zh-CN" w:bidi="ar"/>
              </w:rPr>
              <w:t xml:space="preserve"> -1,627.57 </w:t>
            </w:r>
          </w:p>
        </w:tc>
        <w:tc>
          <w:tcPr>
            <w:tcW w:w="1320" w:type="dxa"/>
            <w:vAlign w:val="center"/>
          </w:tcPr>
          <w:p>
            <w:pPr>
              <w:keepNext w:val="0"/>
              <w:keepLines w:val="0"/>
              <w:widowControl/>
              <w:suppressLineNumbers w:val="0"/>
              <w:jc w:val="right"/>
              <w:textAlignment w:val="center"/>
              <w:rPr>
                <w:rFonts w:hint="eastAsia" w:ascii="仿宋_GB2312" w:eastAsia="仿宋_GB2312"/>
                <w:b w:val="0"/>
                <w:bCs w:val="0"/>
                <w:szCs w:val="21"/>
              </w:rPr>
            </w:pPr>
            <w:r>
              <w:rPr>
                <w:rFonts w:hint="eastAsia" w:ascii="仿宋_GB2312" w:hAnsi="宋体" w:eastAsia="仿宋_GB2312" w:cs="仿宋_GB2312"/>
                <w:i w:val="0"/>
                <w:iCs w:val="0"/>
                <w:color w:val="000000"/>
                <w:kern w:val="0"/>
                <w:sz w:val="21"/>
                <w:szCs w:val="21"/>
                <w:u w:val="none"/>
                <w:lang w:val="en-US" w:eastAsia="zh-CN" w:bidi="ar"/>
              </w:rPr>
              <w:t>-17.85%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pPr>
              <w:widowControl/>
              <w:jc w:val="center"/>
              <w:rPr>
                <w:rFonts w:hint="eastAsia" w:ascii="仿宋_GB2312" w:eastAsia="仿宋_GB2312"/>
                <w:b/>
                <w:bCs/>
                <w:szCs w:val="21"/>
              </w:rPr>
            </w:pPr>
          </w:p>
        </w:tc>
        <w:tc>
          <w:tcPr>
            <w:tcW w:w="3163" w:type="dxa"/>
            <w:vAlign w:val="center"/>
          </w:tcPr>
          <w:p>
            <w:pPr>
              <w:widowControl/>
              <w:ind w:right="-103" w:rightChars="-49" w:firstLine="630" w:firstLineChars="300"/>
              <w:jc w:val="left"/>
              <w:rPr>
                <w:rFonts w:hint="eastAsia" w:ascii="仿宋_GB2312" w:eastAsia="仿宋_GB2312"/>
                <w:b/>
                <w:bCs/>
                <w:szCs w:val="21"/>
              </w:rPr>
            </w:pPr>
            <w:r>
              <w:rPr>
                <w:rFonts w:hint="eastAsia" w:ascii="仿宋_GB2312" w:eastAsia="仿宋_GB2312"/>
                <w:kern w:val="0"/>
                <w:szCs w:val="21"/>
              </w:rPr>
              <w:t>第三方支付（银联、易支付）</w:t>
            </w:r>
          </w:p>
        </w:tc>
        <w:tc>
          <w:tcPr>
            <w:tcW w:w="1470" w:type="dxa"/>
            <w:shd w:val="clear" w:color="auto" w:fill="auto"/>
            <w:vAlign w:val="center"/>
          </w:tcPr>
          <w:p>
            <w:pPr>
              <w:widowControl/>
              <w:jc w:val="right"/>
              <w:textAlignment w:val="center"/>
              <w:rPr>
                <w:rFonts w:hint="eastAsia" w:ascii="仿宋_GB2312" w:eastAsia="仿宋_GB2312"/>
                <w:b w:val="0"/>
                <w:bCs w:val="0"/>
                <w:szCs w:val="21"/>
              </w:rPr>
            </w:pPr>
            <w:r>
              <w:rPr>
                <w:rFonts w:hint="eastAsia" w:ascii="仿宋_GB2312" w:eastAsia="仿宋_GB2312"/>
                <w:b w:val="0"/>
                <w:bCs w:val="0"/>
                <w:szCs w:val="21"/>
              </w:rPr>
              <w:t xml:space="preserve"> 1,312.58 </w:t>
            </w:r>
          </w:p>
        </w:tc>
        <w:tc>
          <w:tcPr>
            <w:tcW w:w="1305" w:type="dxa"/>
            <w:shd w:val="clear" w:color="auto" w:fill="auto"/>
            <w:noWrap/>
            <w:vAlign w:val="center"/>
          </w:tcPr>
          <w:p>
            <w:pPr>
              <w:widowControl/>
              <w:jc w:val="right"/>
              <w:textAlignment w:val="center"/>
              <w:rPr>
                <w:rFonts w:hint="eastAsia" w:ascii="仿宋_GB2312" w:eastAsia="仿宋_GB2312"/>
                <w:b w:val="0"/>
                <w:bCs w:val="0"/>
                <w:szCs w:val="21"/>
              </w:rPr>
            </w:pPr>
            <w:r>
              <w:rPr>
                <w:rFonts w:hint="eastAsia" w:ascii="仿宋_GB2312" w:eastAsia="仿宋_GB2312"/>
                <w:b w:val="0"/>
                <w:bCs w:val="0"/>
                <w:szCs w:val="21"/>
              </w:rPr>
              <w:t>394.71</w:t>
            </w:r>
          </w:p>
        </w:tc>
        <w:tc>
          <w:tcPr>
            <w:tcW w:w="1470" w:type="dxa"/>
            <w:shd w:val="clear" w:color="auto" w:fill="auto"/>
            <w:noWrap/>
            <w:vAlign w:val="center"/>
          </w:tcPr>
          <w:p>
            <w:pPr>
              <w:keepNext w:val="0"/>
              <w:keepLines w:val="0"/>
              <w:widowControl/>
              <w:suppressLineNumbers w:val="0"/>
              <w:jc w:val="right"/>
              <w:textAlignment w:val="center"/>
              <w:rPr>
                <w:rFonts w:hint="eastAsia" w:ascii="仿宋_GB2312" w:eastAsia="仿宋_GB2312"/>
                <w:b w:val="0"/>
                <w:bCs w:val="0"/>
                <w:szCs w:val="21"/>
              </w:rPr>
            </w:pPr>
            <w:r>
              <w:rPr>
                <w:rFonts w:hint="eastAsia" w:ascii="仿宋_GB2312" w:hAnsi="宋体" w:eastAsia="仿宋_GB2312" w:cs="仿宋_GB2312"/>
                <w:i w:val="0"/>
                <w:iCs w:val="0"/>
                <w:color w:val="000000"/>
                <w:kern w:val="0"/>
                <w:sz w:val="21"/>
                <w:szCs w:val="21"/>
                <w:u w:val="none"/>
                <w:lang w:val="en-US" w:eastAsia="zh-CN" w:bidi="ar"/>
              </w:rPr>
              <w:t xml:space="preserve"> 917.87 </w:t>
            </w:r>
          </w:p>
        </w:tc>
        <w:tc>
          <w:tcPr>
            <w:tcW w:w="1320" w:type="dxa"/>
            <w:vAlign w:val="center"/>
          </w:tcPr>
          <w:p>
            <w:pPr>
              <w:keepNext w:val="0"/>
              <w:keepLines w:val="0"/>
              <w:widowControl/>
              <w:suppressLineNumbers w:val="0"/>
              <w:jc w:val="right"/>
              <w:textAlignment w:val="center"/>
              <w:rPr>
                <w:rFonts w:hint="eastAsia" w:ascii="仿宋_GB2312" w:eastAsia="仿宋_GB2312"/>
                <w:b w:val="0"/>
                <w:bCs w:val="0"/>
                <w:szCs w:val="21"/>
              </w:rPr>
            </w:pPr>
            <w:r>
              <w:rPr>
                <w:rFonts w:hint="eastAsia" w:ascii="仿宋_GB2312" w:hAnsi="宋体" w:eastAsia="仿宋_GB2312" w:cs="仿宋_GB2312"/>
                <w:i w:val="0"/>
                <w:iCs w:val="0"/>
                <w:color w:val="000000"/>
                <w:kern w:val="0"/>
                <w:sz w:val="21"/>
                <w:szCs w:val="21"/>
                <w:u w:val="none"/>
                <w:lang w:val="en-US" w:eastAsia="zh-CN" w:bidi="ar"/>
              </w:rPr>
              <w:t>232.54%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Align w:val="center"/>
          </w:tcPr>
          <w:p>
            <w:pPr>
              <w:widowControl/>
              <w:jc w:val="center"/>
              <w:rPr>
                <w:rFonts w:hint="eastAsia" w:ascii="仿宋_GB2312" w:eastAsia="仿宋_GB2312"/>
                <w:b/>
                <w:bCs/>
                <w:szCs w:val="21"/>
              </w:rPr>
            </w:pPr>
            <w:r>
              <w:rPr>
                <w:rFonts w:hint="eastAsia" w:ascii="仿宋_GB2312" w:eastAsia="仿宋_GB2312"/>
                <w:szCs w:val="21"/>
              </w:rPr>
              <w:t>2</w:t>
            </w:r>
          </w:p>
        </w:tc>
        <w:tc>
          <w:tcPr>
            <w:tcW w:w="3163" w:type="dxa"/>
            <w:vAlign w:val="center"/>
          </w:tcPr>
          <w:p>
            <w:pPr>
              <w:widowControl/>
              <w:jc w:val="left"/>
              <w:rPr>
                <w:rFonts w:hint="eastAsia" w:ascii="仿宋_GB2312" w:eastAsia="仿宋_GB2312"/>
                <w:b/>
                <w:bCs/>
                <w:szCs w:val="21"/>
              </w:rPr>
            </w:pPr>
            <w:r>
              <w:rPr>
                <w:rFonts w:hint="eastAsia" w:ascii="仿宋_GB2312" w:eastAsia="仿宋_GB2312"/>
                <w:kern w:val="0"/>
                <w:szCs w:val="21"/>
              </w:rPr>
              <w:t>其他业务收入</w:t>
            </w:r>
          </w:p>
        </w:tc>
        <w:tc>
          <w:tcPr>
            <w:tcW w:w="1470" w:type="dxa"/>
            <w:shd w:val="clear" w:color="auto" w:fill="auto"/>
            <w:vAlign w:val="center"/>
          </w:tcPr>
          <w:p>
            <w:pPr>
              <w:widowControl/>
              <w:jc w:val="right"/>
              <w:textAlignment w:val="center"/>
              <w:rPr>
                <w:rFonts w:hint="eastAsia" w:ascii="仿宋_GB2312" w:eastAsia="仿宋_GB2312"/>
                <w:b w:val="0"/>
                <w:bCs w:val="0"/>
                <w:szCs w:val="21"/>
              </w:rPr>
            </w:pPr>
            <w:r>
              <w:rPr>
                <w:rFonts w:hint="eastAsia" w:ascii="仿宋_GB2312" w:eastAsia="仿宋_GB2312"/>
                <w:b w:val="0"/>
                <w:bCs w:val="0"/>
                <w:szCs w:val="21"/>
              </w:rPr>
              <w:t xml:space="preserve">14,685.73 </w:t>
            </w:r>
          </w:p>
        </w:tc>
        <w:tc>
          <w:tcPr>
            <w:tcW w:w="1305" w:type="dxa"/>
            <w:shd w:val="clear" w:color="auto" w:fill="auto"/>
            <w:noWrap/>
            <w:vAlign w:val="center"/>
          </w:tcPr>
          <w:p>
            <w:pPr>
              <w:widowControl/>
              <w:jc w:val="right"/>
              <w:textAlignment w:val="center"/>
              <w:rPr>
                <w:rFonts w:hint="eastAsia" w:ascii="仿宋_GB2312" w:eastAsia="仿宋_GB2312"/>
                <w:b w:val="0"/>
                <w:bCs w:val="0"/>
                <w:szCs w:val="21"/>
              </w:rPr>
            </w:pPr>
            <w:r>
              <w:rPr>
                <w:rFonts w:hint="eastAsia" w:ascii="仿宋_GB2312" w:eastAsia="仿宋_GB2312"/>
                <w:b w:val="0"/>
                <w:bCs w:val="0"/>
                <w:szCs w:val="21"/>
              </w:rPr>
              <w:t>14,694.00</w:t>
            </w:r>
          </w:p>
        </w:tc>
        <w:tc>
          <w:tcPr>
            <w:tcW w:w="1470" w:type="dxa"/>
            <w:shd w:val="clear" w:color="auto" w:fill="auto"/>
            <w:noWrap/>
            <w:vAlign w:val="center"/>
          </w:tcPr>
          <w:p>
            <w:pPr>
              <w:keepNext w:val="0"/>
              <w:keepLines w:val="0"/>
              <w:widowControl/>
              <w:suppressLineNumbers w:val="0"/>
              <w:jc w:val="right"/>
              <w:textAlignment w:val="center"/>
              <w:rPr>
                <w:rFonts w:hint="eastAsia" w:ascii="仿宋_GB2312" w:eastAsia="仿宋_GB2312"/>
                <w:b w:val="0"/>
                <w:bCs w:val="0"/>
                <w:szCs w:val="21"/>
              </w:rPr>
            </w:pPr>
            <w:r>
              <w:rPr>
                <w:rFonts w:hint="eastAsia" w:ascii="仿宋_GB2312" w:hAnsi="宋体" w:eastAsia="仿宋_GB2312" w:cs="仿宋_GB2312"/>
                <w:i w:val="0"/>
                <w:iCs w:val="0"/>
                <w:color w:val="000000"/>
                <w:kern w:val="0"/>
                <w:sz w:val="21"/>
                <w:szCs w:val="21"/>
                <w:u w:val="none"/>
                <w:lang w:val="en-US" w:eastAsia="zh-CN" w:bidi="ar"/>
              </w:rPr>
              <w:t xml:space="preserve"> -8.27  </w:t>
            </w:r>
          </w:p>
        </w:tc>
        <w:tc>
          <w:tcPr>
            <w:tcW w:w="1320" w:type="dxa"/>
            <w:vAlign w:val="center"/>
          </w:tcPr>
          <w:p>
            <w:pPr>
              <w:keepNext w:val="0"/>
              <w:keepLines w:val="0"/>
              <w:widowControl/>
              <w:suppressLineNumbers w:val="0"/>
              <w:jc w:val="right"/>
              <w:textAlignment w:val="center"/>
              <w:rPr>
                <w:rFonts w:hint="eastAsia" w:ascii="仿宋_GB2312" w:eastAsia="仿宋_GB2312"/>
                <w:b w:val="0"/>
                <w:bCs w:val="0"/>
                <w:szCs w:val="21"/>
              </w:rPr>
            </w:pPr>
            <w:r>
              <w:rPr>
                <w:rFonts w:hint="eastAsia" w:ascii="仿宋_GB2312" w:hAnsi="宋体" w:eastAsia="仿宋_GB2312" w:cs="仿宋_GB2312"/>
                <w:i w:val="0"/>
                <w:iCs w:val="0"/>
                <w:color w:val="000000"/>
                <w:kern w:val="0"/>
                <w:sz w:val="21"/>
                <w:szCs w:val="21"/>
                <w:u w:val="none"/>
                <w:lang w:val="en-US" w:eastAsia="zh-CN" w:bidi="ar"/>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Align w:val="center"/>
          </w:tcPr>
          <w:p>
            <w:pPr>
              <w:widowControl/>
              <w:jc w:val="center"/>
              <w:rPr>
                <w:rFonts w:hint="eastAsia" w:ascii="仿宋_GB2312" w:eastAsia="仿宋_GB2312"/>
                <w:b/>
                <w:bCs/>
                <w:szCs w:val="21"/>
              </w:rPr>
            </w:pPr>
            <w:r>
              <w:rPr>
                <w:rFonts w:hint="eastAsia" w:ascii="仿宋_GB2312" w:eastAsia="仿宋_GB2312"/>
                <w:szCs w:val="21"/>
              </w:rPr>
              <w:t>3</w:t>
            </w:r>
          </w:p>
        </w:tc>
        <w:tc>
          <w:tcPr>
            <w:tcW w:w="3163" w:type="dxa"/>
            <w:vAlign w:val="center"/>
          </w:tcPr>
          <w:p>
            <w:pPr>
              <w:widowControl/>
              <w:jc w:val="left"/>
              <w:rPr>
                <w:rFonts w:hint="eastAsia" w:ascii="仿宋_GB2312" w:eastAsia="仿宋_GB2312"/>
                <w:b/>
                <w:bCs/>
                <w:szCs w:val="21"/>
              </w:rPr>
            </w:pPr>
            <w:r>
              <w:rPr>
                <w:rFonts w:hint="eastAsia" w:ascii="仿宋_GB2312" w:eastAsia="仿宋_GB2312"/>
                <w:kern w:val="0"/>
                <w:szCs w:val="21"/>
              </w:rPr>
              <w:t>投资收益</w:t>
            </w:r>
          </w:p>
        </w:tc>
        <w:tc>
          <w:tcPr>
            <w:tcW w:w="1470" w:type="dxa"/>
            <w:shd w:val="clear" w:color="auto" w:fill="auto"/>
            <w:vAlign w:val="center"/>
          </w:tcPr>
          <w:p>
            <w:pPr>
              <w:widowControl/>
              <w:jc w:val="right"/>
              <w:textAlignment w:val="center"/>
              <w:rPr>
                <w:rFonts w:hint="eastAsia" w:ascii="仿宋_GB2312" w:eastAsia="仿宋_GB2312"/>
                <w:b w:val="0"/>
                <w:bCs w:val="0"/>
                <w:szCs w:val="21"/>
              </w:rPr>
            </w:pPr>
            <w:r>
              <w:rPr>
                <w:rFonts w:hint="eastAsia" w:ascii="仿宋_GB2312" w:eastAsia="仿宋_GB2312"/>
                <w:b w:val="0"/>
                <w:bCs w:val="0"/>
                <w:szCs w:val="21"/>
              </w:rPr>
              <w:t xml:space="preserve"> 489.86 </w:t>
            </w:r>
          </w:p>
        </w:tc>
        <w:tc>
          <w:tcPr>
            <w:tcW w:w="1305" w:type="dxa"/>
            <w:shd w:val="clear" w:color="auto" w:fill="auto"/>
            <w:noWrap/>
            <w:vAlign w:val="center"/>
          </w:tcPr>
          <w:p>
            <w:pPr>
              <w:widowControl/>
              <w:jc w:val="right"/>
              <w:textAlignment w:val="center"/>
              <w:rPr>
                <w:rFonts w:hint="eastAsia" w:ascii="仿宋_GB2312" w:eastAsia="仿宋_GB2312"/>
                <w:b w:val="0"/>
                <w:bCs w:val="0"/>
                <w:szCs w:val="21"/>
              </w:rPr>
            </w:pPr>
            <w:r>
              <w:rPr>
                <w:rFonts w:hint="eastAsia" w:ascii="仿宋_GB2312" w:eastAsia="仿宋_GB2312"/>
                <w:b w:val="0"/>
                <w:bCs w:val="0"/>
                <w:szCs w:val="21"/>
              </w:rPr>
              <w:t>456.19</w:t>
            </w:r>
          </w:p>
        </w:tc>
        <w:tc>
          <w:tcPr>
            <w:tcW w:w="1470" w:type="dxa"/>
            <w:shd w:val="clear" w:color="auto" w:fill="auto"/>
            <w:noWrap/>
            <w:vAlign w:val="center"/>
          </w:tcPr>
          <w:p>
            <w:pPr>
              <w:keepNext w:val="0"/>
              <w:keepLines w:val="0"/>
              <w:widowControl/>
              <w:suppressLineNumbers w:val="0"/>
              <w:jc w:val="right"/>
              <w:textAlignment w:val="center"/>
              <w:rPr>
                <w:rFonts w:hint="eastAsia" w:ascii="仿宋_GB2312" w:eastAsia="仿宋_GB2312"/>
                <w:b w:val="0"/>
                <w:bCs w:val="0"/>
                <w:szCs w:val="21"/>
              </w:rPr>
            </w:pPr>
            <w:r>
              <w:rPr>
                <w:rFonts w:hint="eastAsia" w:ascii="仿宋_GB2312" w:hAnsi="宋体" w:eastAsia="仿宋_GB2312" w:cs="仿宋_GB2312"/>
                <w:i w:val="0"/>
                <w:iCs w:val="0"/>
                <w:color w:val="000000"/>
                <w:kern w:val="0"/>
                <w:sz w:val="21"/>
                <w:szCs w:val="21"/>
                <w:u w:val="none"/>
                <w:lang w:val="en-US" w:eastAsia="zh-CN" w:bidi="ar"/>
              </w:rPr>
              <w:t xml:space="preserve"> 33.67 </w:t>
            </w:r>
          </w:p>
        </w:tc>
        <w:tc>
          <w:tcPr>
            <w:tcW w:w="1320" w:type="dxa"/>
            <w:vAlign w:val="center"/>
          </w:tcPr>
          <w:p>
            <w:pPr>
              <w:keepNext w:val="0"/>
              <w:keepLines w:val="0"/>
              <w:widowControl/>
              <w:suppressLineNumbers w:val="0"/>
              <w:jc w:val="right"/>
              <w:textAlignment w:val="center"/>
              <w:rPr>
                <w:rFonts w:hint="eastAsia" w:ascii="仿宋_GB2312" w:eastAsia="仿宋_GB2312"/>
                <w:b w:val="0"/>
                <w:bCs w:val="0"/>
                <w:szCs w:val="21"/>
              </w:rPr>
            </w:pPr>
            <w:r>
              <w:rPr>
                <w:rFonts w:hint="eastAsia" w:ascii="仿宋_GB2312" w:hAnsi="宋体" w:eastAsia="仿宋_GB2312" w:cs="仿宋_GB2312"/>
                <w:i w:val="0"/>
                <w:iCs w:val="0"/>
                <w:color w:val="000000"/>
                <w:kern w:val="0"/>
                <w:sz w:val="21"/>
                <w:szCs w:val="21"/>
                <w:u w:val="none"/>
                <w:lang w:val="en-US" w:eastAsia="zh-CN" w:bidi="ar"/>
              </w:rPr>
              <w:t>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Align w:val="center"/>
          </w:tcPr>
          <w:p>
            <w:pPr>
              <w:widowControl/>
              <w:jc w:val="center"/>
              <w:rPr>
                <w:rFonts w:hint="eastAsia" w:ascii="仿宋_GB2312" w:eastAsia="仿宋_GB2312"/>
                <w:szCs w:val="21"/>
              </w:rPr>
            </w:pPr>
            <w:r>
              <w:rPr>
                <w:rFonts w:hint="eastAsia" w:ascii="仿宋_GB2312" w:eastAsia="仿宋_GB2312"/>
                <w:szCs w:val="21"/>
              </w:rPr>
              <w:t>4</w:t>
            </w:r>
          </w:p>
        </w:tc>
        <w:tc>
          <w:tcPr>
            <w:tcW w:w="3163" w:type="dxa"/>
            <w:vAlign w:val="center"/>
          </w:tcPr>
          <w:p>
            <w:pPr>
              <w:widowControl/>
              <w:jc w:val="left"/>
              <w:rPr>
                <w:rFonts w:hint="eastAsia" w:ascii="仿宋_GB2312" w:eastAsia="仿宋_GB2312"/>
                <w:b/>
                <w:bCs/>
                <w:szCs w:val="21"/>
              </w:rPr>
            </w:pPr>
            <w:r>
              <w:rPr>
                <w:rFonts w:hint="eastAsia" w:ascii="仿宋_GB2312" w:eastAsia="仿宋_GB2312"/>
                <w:b/>
                <w:bCs/>
                <w:kern w:val="0"/>
                <w:szCs w:val="21"/>
              </w:rPr>
              <w:t>营业总收入合计</w:t>
            </w:r>
          </w:p>
        </w:tc>
        <w:tc>
          <w:tcPr>
            <w:tcW w:w="1470" w:type="dxa"/>
            <w:shd w:val="clear" w:color="auto" w:fill="auto"/>
            <w:vAlign w:val="center"/>
          </w:tcPr>
          <w:p>
            <w:pPr>
              <w:widowControl/>
              <w:jc w:val="right"/>
              <w:textAlignment w:val="center"/>
              <w:rPr>
                <w:rFonts w:hint="eastAsia" w:ascii="仿宋_GB2312" w:eastAsia="仿宋_GB2312"/>
                <w:b/>
                <w:bCs/>
                <w:szCs w:val="21"/>
              </w:rPr>
            </w:pPr>
            <w:r>
              <w:rPr>
                <w:rFonts w:hint="eastAsia" w:ascii="仿宋_GB2312" w:eastAsia="仿宋_GB2312"/>
                <w:b/>
                <w:bCs/>
                <w:szCs w:val="21"/>
              </w:rPr>
              <w:t xml:space="preserve"> 46,320.03 </w:t>
            </w:r>
          </w:p>
        </w:tc>
        <w:tc>
          <w:tcPr>
            <w:tcW w:w="1305" w:type="dxa"/>
            <w:shd w:val="clear" w:color="auto" w:fill="auto"/>
            <w:noWrap/>
            <w:vAlign w:val="center"/>
          </w:tcPr>
          <w:p>
            <w:pPr>
              <w:widowControl/>
              <w:jc w:val="right"/>
              <w:textAlignment w:val="center"/>
              <w:rPr>
                <w:rFonts w:hint="eastAsia" w:ascii="仿宋_GB2312" w:eastAsia="仿宋_GB2312"/>
                <w:b/>
                <w:bCs/>
                <w:szCs w:val="21"/>
              </w:rPr>
            </w:pPr>
            <w:r>
              <w:rPr>
                <w:rFonts w:hint="eastAsia" w:ascii="仿宋_GB2312" w:eastAsia="仿宋_GB2312"/>
                <w:b/>
                <w:bCs/>
                <w:szCs w:val="21"/>
              </w:rPr>
              <w:t>47,748.62</w:t>
            </w:r>
          </w:p>
        </w:tc>
        <w:tc>
          <w:tcPr>
            <w:tcW w:w="1470" w:type="dxa"/>
            <w:shd w:val="clear" w:color="auto" w:fill="auto"/>
            <w:noWrap/>
            <w:vAlign w:val="center"/>
          </w:tcPr>
          <w:p>
            <w:pPr>
              <w:keepNext w:val="0"/>
              <w:keepLines w:val="0"/>
              <w:widowControl/>
              <w:suppressLineNumbers w:val="0"/>
              <w:jc w:val="right"/>
              <w:textAlignment w:val="center"/>
              <w:rPr>
                <w:rFonts w:hint="eastAsia" w:ascii="仿宋_GB2312" w:eastAsia="仿宋_GB2312"/>
                <w:b w:val="0"/>
                <w:bCs w:val="0"/>
                <w:szCs w:val="21"/>
              </w:rPr>
            </w:pPr>
            <w:r>
              <w:rPr>
                <w:rFonts w:hint="eastAsia" w:ascii="仿宋_GB2312" w:hAnsi="宋体" w:eastAsia="仿宋_GB2312" w:cs="仿宋_GB2312"/>
                <w:b/>
                <w:bCs/>
                <w:i w:val="0"/>
                <w:iCs w:val="0"/>
                <w:color w:val="000000"/>
                <w:kern w:val="0"/>
                <w:sz w:val="21"/>
                <w:szCs w:val="21"/>
                <w:u w:val="none"/>
                <w:lang w:val="en-US" w:eastAsia="zh-CN" w:bidi="ar"/>
              </w:rPr>
              <w:t xml:space="preserve"> -1,428.59  </w:t>
            </w:r>
          </w:p>
        </w:tc>
        <w:tc>
          <w:tcPr>
            <w:tcW w:w="1320" w:type="dxa"/>
            <w:vAlign w:val="center"/>
          </w:tcPr>
          <w:p>
            <w:pPr>
              <w:keepNext w:val="0"/>
              <w:keepLines w:val="0"/>
              <w:widowControl/>
              <w:suppressLineNumbers w:val="0"/>
              <w:jc w:val="right"/>
              <w:textAlignment w:val="center"/>
              <w:rPr>
                <w:rFonts w:hint="eastAsia" w:ascii="仿宋_GB2312" w:eastAsia="仿宋_GB2312"/>
                <w:b w:val="0"/>
                <w:bCs w:val="0"/>
                <w:szCs w:val="21"/>
              </w:rPr>
            </w:pPr>
            <w:r>
              <w:rPr>
                <w:rFonts w:hint="eastAsia" w:ascii="仿宋_GB2312" w:hAnsi="宋体" w:eastAsia="仿宋_GB2312" w:cs="仿宋_GB2312"/>
                <w:b/>
                <w:bCs/>
                <w:i w:val="0"/>
                <w:iCs w:val="0"/>
                <w:color w:val="000000"/>
                <w:kern w:val="0"/>
                <w:sz w:val="21"/>
                <w:szCs w:val="21"/>
                <w:u w:val="none"/>
                <w:lang w:val="en-US" w:eastAsia="zh-CN" w:bidi="ar"/>
              </w:rPr>
              <w:t>-2.99%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restart"/>
            <w:vAlign w:val="center"/>
          </w:tcPr>
          <w:p>
            <w:pPr>
              <w:widowControl/>
              <w:jc w:val="center"/>
              <w:rPr>
                <w:rFonts w:hint="eastAsia" w:ascii="仿宋_GB2312" w:eastAsia="仿宋_GB2312"/>
                <w:szCs w:val="21"/>
              </w:rPr>
            </w:pPr>
            <w:r>
              <w:rPr>
                <w:rFonts w:hint="eastAsia" w:ascii="仿宋_GB2312" w:eastAsia="仿宋_GB2312"/>
                <w:szCs w:val="21"/>
              </w:rPr>
              <w:t>5</w:t>
            </w:r>
          </w:p>
        </w:tc>
        <w:tc>
          <w:tcPr>
            <w:tcW w:w="3163" w:type="dxa"/>
            <w:vAlign w:val="center"/>
          </w:tcPr>
          <w:p>
            <w:pPr>
              <w:widowControl/>
              <w:jc w:val="left"/>
              <w:rPr>
                <w:rFonts w:hint="eastAsia" w:ascii="仿宋_GB2312" w:eastAsia="仿宋_GB2312"/>
                <w:b/>
                <w:bCs/>
                <w:kern w:val="0"/>
                <w:szCs w:val="21"/>
              </w:rPr>
            </w:pPr>
            <w:r>
              <w:rPr>
                <w:rFonts w:hint="eastAsia" w:ascii="仿宋_GB2312" w:eastAsia="仿宋_GB2312"/>
                <w:kern w:val="0"/>
                <w:szCs w:val="21"/>
              </w:rPr>
              <w:t>主营业务成本</w:t>
            </w:r>
          </w:p>
        </w:tc>
        <w:tc>
          <w:tcPr>
            <w:tcW w:w="1470" w:type="dxa"/>
            <w:shd w:val="clear" w:color="auto" w:fill="auto"/>
            <w:vAlign w:val="center"/>
          </w:tcPr>
          <w:p>
            <w:pPr>
              <w:widowControl/>
              <w:jc w:val="right"/>
              <w:textAlignment w:val="center"/>
              <w:rPr>
                <w:rFonts w:hint="eastAsia" w:ascii="仿宋_GB2312" w:eastAsia="仿宋_GB2312"/>
                <w:b w:val="0"/>
                <w:bCs w:val="0"/>
                <w:kern w:val="0"/>
                <w:szCs w:val="21"/>
                <w:lang w:bidi="ar"/>
              </w:rPr>
            </w:pPr>
            <w:r>
              <w:rPr>
                <w:rFonts w:hint="eastAsia" w:ascii="仿宋_GB2312" w:eastAsia="仿宋_GB2312"/>
                <w:b w:val="0"/>
                <w:bCs w:val="0"/>
                <w:kern w:val="0"/>
                <w:szCs w:val="21"/>
                <w:lang w:bidi="ar"/>
              </w:rPr>
              <w:t xml:space="preserve"> 304,272.00 </w:t>
            </w:r>
          </w:p>
        </w:tc>
        <w:tc>
          <w:tcPr>
            <w:tcW w:w="1305" w:type="dxa"/>
            <w:shd w:val="clear" w:color="auto" w:fill="auto"/>
            <w:noWrap/>
            <w:vAlign w:val="center"/>
          </w:tcPr>
          <w:p>
            <w:pPr>
              <w:widowControl/>
              <w:jc w:val="right"/>
              <w:textAlignment w:val="center"/>
              <w:rPr>
                <w:rFonts w:hint="eastAsia" w:ascii="仿宋_GB2312" w:eastAsia="仿宋_GB2312"/>
                <w:b w:val="0"/>
                <w:bCs w:val="0"/>
                <w:kern w:val="0"/>
                <w:szCs w:val="21"/>
                <w:lang w:bidi="ar"/>
              </w:rPr>
            </w:pPr>
            <w:r>
              <w:rPr>
                <w:rFonts w:hint="eastAsia" w:ascii="仿宋_GB2312" w:eastAsia="仿宋_GB2312"/>
                <w:b w:val="0"/>
                <w:bCs w:val="0"/>
                <w:kern w:val="0"/>
                <w:szCs w:val="21"/>
                <w:lang w:bidi="ar"/>
              </w:rPr>
              <w:t>320,132.86</w:t>
            </w:r>
          </w:p>
        </w:tc>
        <w:tc>
          <w:tcPr>
            <w:tcW w:w="1470" w:type="dxa"/>
            <w:shd w:val="clear" w:color="auto" w:fill="auto"/>
            <w:noWrap/>
            <w:vAlign w:val="center"/>
          </w:tcPr>
          <w:p>
            <w:pPr>
              <w:keepNext w:val="0"/>
              <w:keepLines w:val="0"/>
              <w:widowControl/>
              <w:suppressLineNumbers w:val="0"/>
              <w:jc w:val="right"/>
              <w:textAlignment w:val="center"/>
              <w:rPr>
                <w:rFonts w:hint="eastAsia" w:ascii="仿宋_GB2312" w:eastAsia="仿宋_GB2312"/>
                <w:b w:val="0"/>
                <w:bCs w:val="0"/>
                <w:kern w:val="0"/>
                <w:szCs w:val="21"/>
                <w:lang w:bidi="ar"/>
              </w:rPr>
            </w:pPr>
            <w:r>
              <w:rPr>
                <w:rFonts w:hint="eastAsia" w:ascii="仿宋_GB2312" w:hAnsi="宋体" w:eastAsia="仿宋_GB2312" w:cs="仿宋_GB2312"/>
                <w:i w:val="0"/>
                <w:iCs w:val="0"/>
                <w:color w:val="000000"/>
                <w:kern w:val="0"/>
                <w:sz w:val="21"/>
                <w:szCs w:val="21"/>
                <w:u w:val="none"/>
                <w:lang w:val="en-US" w:eastAsia="zh-CN" w:bidi="ar"/>
              </w:rPr>
              <w:t xml:space="preserve"> -15,860.86 </w:t>
            </w:r>
          </w:p>
        </w:tc>
        <w:tc>
          <w:tcPr>
            <w:tcW w:w="1320" w:type="dxa"/>
            <w:vAlign w:val="center"/>
          </w:tcPr>
          <w:p>
            <w:pPr>
              <w:keepNext w:val="0"/>
              <w:keepLines w:val="0"/>
              <w:widowControl/>
              <w:suppressLineNumbers w:val="0"/>
              <w:jc w:val="right"/>
              <w:textAlignment w:val="center"/>
              <w:rPr>
                <w:rFonts w:hint="eastAsia" w:ascii="仿宋_GB2312" w:eastAsia="仿宋_GB2312"/>
                <w:b w:val="0"/>
                <w:bCs w:val="0"/>
                <w:kern w:val="0"/>
                <w:szCs w:val="21"/>
                <w:lang w:bidi="ar"/>
              </w:rPr>
            </w:pPr>
            <w:r>
              <w:rPr>
                <w:rFonts w:hint="eastAsia" w:ascii="仿宋_GB2312" w:hAnsi="宋体" w:eastAsia="仿宋_GB2312" w:cs="仿宋_GB2312"/>
                <w:i w:val="0"/>
                <w:iCs w:val="0"/>
                <w:color w:val="000000"/>
                <w:kern w:val="0"/>
                <w:sz w:val="21"/>
                <w:szCs w:val="21"/>
                <w:u w:val="none"/>
                <w:lang w:val="en-US" w:eastAsia="zh-CN" w:bidi="ar"/>
              </w:rPr>
              <w:t>-4.95%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pPr>
              <w:widowControl/>
              <w:jc w:val="center"/>
              <w:rPr>
                <w:rFonts w:hint="eastAsia" w:ascii="仿宋_GB2312" w:eastAsia="仿宋_GB2312"/>
                <w:szCs w:val="21"/>
              </w:rPr>
            </w:pPr>
          </w:p>
        </w:tc>
        <w:tc>
          <w:tcPr>
            <w:tcW w:w="3163" w:type="dxa"/>
            <w:vAlign w:val="center"/>
          </w:tcPr>
          <w:p>
            <w:pPr>
              <w:widowControl/>
              <w:jc w:val="left"/>
              <w:rPr>
                <w:rFonts w:hint="eastAsia" w:ascii="仿宋_GB2312" w:eastAsia="仿宋_GB2312"/>
                <w:b/>
                <w:bCs/>
                <w:kern w:val="0"/>
                <w:szCs w:val="21"/>
              </w:rPr>
            </w:pPr>
            <w:r>
              <w:rPr>
                <w:rFonts w:hint="eastAsia" w:ascii="仿宋_GB2312" w:eastAsia="仿宋_GB2312"/>
                <w:kern w:val="0"/>
                <w:szCs w:val="21"/>
              </w:rPr>
              <w:t>其中：职工工资及福利费</w:t>
            </w:r>
          </w:p>
        </w:tc>
        <w:tc>
          <w:tcPr>
            <w:tcW w:w="1470" w:type="dxa"/>
            <w:shd w:val="clear" w:color="auto" w:fill="auto"/>
            <w:vAlign w:val="center"/>
          </w:tcPr>
          <w:p>
            <w:pPr>
              <w:widowControl/>
              <w:jc w:val="right"/>
              <w:textAlignment w:val="center"/>
              <w:rPr>
                <w:rFonts w:hint="eastAsia" w:ascii="仿宋_GB2312" w:eastAsia="仿宋_GB2312"/>
                <w:b w:val="0"/>
                <w:bCs w:val="0"/>
                <w:kern w:val="0"/>
                <w:szCs w:val="21"/>
                <w:lang w:bidi="ar"/>
              </w:rPr>
            </w:pPr>
            <w:r>
              <w:rPr>
                <w:rFonts w:hint="eastAsia" w:ascii="仿宋_GB2312" w:eastAsia="仿宋_GB2312"/>
                <w:b w:val="0"/>
                <w:bCs w:val="0"/>
                <w:kern w:val="0"/>
                <w:szCs w:val="21"/>
                <w:lang w:bidi="ar"/>
              </w:rPr>
              <w:t xml:space="preserve"> 195,390.42 </w:t>
            </w:r>
          </w:p>
        </w:tc>
        <w:tc>
          <w:tcPr>
            <w:tcW w:w="1305" w:type="dxa"/>
            <w:shd w:val="clear" w:color="auto" w:fill="auto"/>
            <w:noWrap/>
            <w:vAlign w:val="center"/>
          </w:tcPr>
          <w:p>
            <w:pPr>
              <w:widowControl/>
              <w:jc w:val="right"/>
              <w:textAlignment w:val="center"/>
              <w:rPr>
                <w:rFonts w:hint="eastAsia" w:ascii="仿宋_GB2312" w:eastAsia="仿宋_GB2312"/>
                <w:b w:val="0"/>
                <w:bCs w:val="0"/>
                <w:kern w:val="0"/>
                <w:szCs w:val="21"/>
                <w:lang w:bidi="ar"/>
              </w:rPr>
            </w:pPr>
            <w:r>
              <w:rPr>
                <w:rFonts w:hint="eastAsia" w:ascii="仿宋_GB2312" w:eastAsia="仿宋_GB2312"/>
                <w:b w:val="0"/>
                <w:bCs w:val="0"/>
                <w:kern w:val="0"/>
                <w:szCs w:val="21"/>
                <w:lang w:bidi="ar"/>
              </w:rPr>
              <w:t>198,113.31</w:t>
            </w:r>
          </w:p>
        </w:tc>
        <w:tc>
          <w:tcPr>
            <w:tcW w:w="1470" w:type="dxa"/>
            <w:shd w:val="clear" w:color="auto" w:fill="auto"/>
            <w:noWrap/>
            <w:vAlign w:val="center"/>
          </w:tcPr>
          <w:p>
            <w:pPr>
              <w:keepNext w:val="0"/>
              <w:keepLines w:val="0"/>
              <w:widowControl/>
              <w:suppressLineNumbers w:val="0"/>
              <w:jc w:val="right"/>
              <w:textAlignment w:val="center"/>
              <w:rPr>
                <w:rFonts w:hint="eastAsia" w:ascii="仿宋_GB2312" w:eastAsia="仿宋_GB2312"/>
                <w:b w:val="0"/>
                <w:bCs w:val="0"/>
                <w:kern w:val="0"/>
                <w:szCs w:val="21"/>
                <w:lang w:bidi="ar"/>
              </w:rPr>
            </w:pPr>
            <w:r>
              <w:rPr>
                <w:rFonts w:hint="eastAsia" w:ascii="仿宋_GB2312" w:hAnsi="宋体" w:eastAsia="仿宋_GB2312" w:cs="仿宋_GB2312"/>
                <w:i w:val="0"/>
                <w:iCs w:val="0"/>
                <w:color w:val="000000"/>
                <w:kern w:val="0"/>
                <w:sz w:val="21"/>
                <w:szCs w:val="21"/>
                <w:u w:val="none"/>
                <w:lang w:val="en-US" w:eastAsia="zh-CN" w:bidi="ar"/>
              </w:rPr>
              <w:t xml:space="preserve"> -2,722.89 </w:t>
            </w:r>
          </w:p>
        </w:tc>
        <w:tc>
          <w:tcPr>
            <w:tcW w:w="1320" w:type="dxa"/>
            <w:vAlign w:val="center"/>
          </w:tcPr>
          <w:p>
            <w:pPr>
              <w:keepNext w:val="0"/>
              <w:keepLines w:val="0"/>
              <w:widowControl/>
              <w:suppressLineNumbers w:val="0"/>
              <w:jc w:val="right"/>
              <w:textAlignment w:val="center"/>
              <w:rPr>
                <w:rFonts w:hint="eastAsia" w:ascii="仿宋_GB2312" w:eastAsia="仿宋_GB2312"/>
                <w:b w:val="0"/>
                <w:bCs w:val="0"/>
                <w:kern w:val="0"/>
                <w:szCs w:val="21"/>
                <w:lang w:bidi="ar"/>
              </w:rPr>
            </w:pPr>
            <w:r>
              <w:rPr>
                <w:rFonts w:hint="eastAsia" w:ascii="仿宋_GB2312" w:hAnsi="宋体" w:eastAsia="仿宋_GB2312" w:cs="仿宋_GB2312"/>
                <w:i w:val="0"/>
                <w:iCs w:val="0"/>
                <w:color w:val="000000"/>
                <w:kern w:val="0"/>
                <w:sz w:val="21"/>
                <w:szCs w:val="21"/>
                <w:u w:val="none"/>
                <w:lang w:val="en-US" w:eastAsia="zh-CN" w:bidi="ar"/>
              </w:rP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pPr>
              <w:widowControl/>
              <w:jc w:val="center"/>
              <w:rPr>
                <w:rFonts w:hint="eastAsia" w:ascii="仿宋_GB2312" w:eastAsia="仿宋_GB2312"/>
                <w:szCs w:val="21"/>
              </w:rPr>
            </w:pPr>
          </w:p>
        </w:tc>
        <w:tc>
          <w:tcPr>
            <w:tcW w:w="3163" w:type="dxa"/>
            <w:vAlign w:val="center"/>
          </w:tcPr>
          <w:p>
            <w:pPr>
              <w:widowControl/>
              <w:ind w:firstLine="630" w:firstLineChars="300"/>
              <w:jc w:val="left"/>
              <w:rPr>
                <w:rFonts w:hint="eastAsia" w:ascii="仿宋_GB2312" w:eastAsia="仿宋_GB2312"/>
                <w:b/>
                <w:bCs/>
                <w:kern w:val="0"/>
                <w:szCs w:val="21"/>
              </w:rPr>
            </w:pPr>
            <w:r>
              <w:rPr>
                <w:rFonts w:hint="eastAsia" w:ascii="仿宋_GB2312" w:eastAsia="仿宋_GB2312"/>
                <w:kern w:val="0"/>
                <w:szCs w:val="21"/>
              </w:rPr>
              <w:t>燃料</w:t>
            </w:r>
          </w:p>
        </w:tc>
        <w:tc>
          <w:tcPr>
            <w:tcW w:w="1470" w:type="dxa"/>
            <w:shd w:val="clear" w:color="auto" w:fill="auto"/>
            <w:vAlign w:val="center"/>
          </w:tcPr>
          <w:p>
            <w:pPr>
              <w:widowControl/>
              <w:jc w:val="right"/>
              <w:textAlignment w:val="center"/>
              <w:rPr>
                <w:rFonts w:hint="eastAsia" w:ascii="仿宋_GB2312" w:eastAsia="仿宋_GB2312"/>
                <w:b w:val="0"/>
                <w:bCs w:val="0"/>
                <w:kern w:val="0"/>
                <w:szCs w:val="21"/>
                <w:lang w:bidi="ar"/>
              </w:rPr>
            </w:pPr>
            <w:r>
              <w:rPr>
                <w:rFonts w:hint="eastAsia" w:ascii="仿宋_GB2312" w:eastAsia="仿宋_GB2312"/>
                <w:b w:val="0"/>
                <w:bCs w:val="0"/>
                <w:kern w:val="0"/>
                <w:szCs w:val="21"/>
                <w:lang w:bidi="ar"/>
              </w:rPr>
              <w:t xml:space="preserve"> 33,812.73 </w:t>
            </w:r>
          </w:p>
        </w:tc>
        <w:tc>
          <w:tcPr>
            <w:tcW w:w="1305" w:type="dxa"/>
            <w:shd w:val="clear" w:color="auto" w:fill="auto"/>
            <w:noWrap/>
            <w:vAlign w:val="center"/>
          </w:tcPr>
          <w:p>
            <w:pPr>
              <w:widowControl/>
              <w:jc w:val="right"/>
              <w:textAlignment w:val="center"/>
              <w:rPr>
                <w:rFonts w:hint="eastAsia" w:ascii="仿宋_GB2312" w:eastAsia="仿宋_GB2312"/>
                <w:b w:val="0"/>
                <w:bCs w:val="0"/>
                <w:kern w:val="0"/>
                <w:szCs w:val="21"/>
                <w:lang w:bidi="ar"/>
              </w:rPr>
            </w:pPr>
            <w:r>
              <w:rPr>
                <w:rFonts w:hint="eastAsia" w:ascii="仿宋_GB2312" w:eastAsia="仿宋_GB2312"/>
                <w:b w:val="0"/>
                <w:bCs w:val="0"/>
                <w:kern w:val="0"/>
                <w:szCs w:val="21"/>
                <w:lang w:bidi="ar"/>
              </w:rPr>
              <w:t>37,013.40</w:t>
            </w:r>
          </w:p>
        </w:tc>
        <w:tc>
          <w:tcPr>
            <w:tcW w:w="1470" w:type="dxa"/>
            <w:shd w:val="clear" w:color="auto" w:fill="auto"/>
            <w:noWrap/>
            <w:vAlign w:val="center"/>
          </w:tcPr>
          <w:p>
            <w:pPr>
              <w:keepNext w:val="0"/>
              <w:keepLines w:val="0"/>
              <w:widowControl/>
              <w:suppressLineNumbers w:val="0"/>
              <w:jc w:val="right"/>
              <w:textAlignment w:val="center"/>
              <w:rPr>
                <w:rFonts w:hint="eastAsia" w:ascii="仿宋_GB2312" w:eastAsia="仿宋_GB2312"/>
                <w:b w:val="0"/>
                <w:bCs w:val="0"/>
                <w:kern w:val="0"/>
                <w:szCs w:val="21"/>
                <w:lang w:bidi="ar"/>
              </w:rPr>
            </w:pPr>
            <w:r>
              <w:rPr>
                <w:rFonts w:hint="eastAsia" w:ascii="仿宋_GB2312" w:hAnsi="宋体" w:eastAsia="仿宋_GB2312" w:cs="仿宋_GB2312"/>
                <w:i w:val="0"/>
                <w:iCs w:val="0"/>
                <w:color w:val="000000"/>
                <w:kern w:val="0"/>
                <w:sz w:val="21"/>
                <w:szCs w:val="21"/>
                <w:u w:val="none"/>
                <w:lang w:val="en-US" w:eastAsia="zh-CN" w:bidi="ar"/>
              </w:rPr>
              <w:t xml:space="preserve"> -3,200.67 </w:t>
            </w:r>
          </w:p>
        </w:tc>
        <w:tc>
          <w:tcPr>
            <w:tcW w:w="1320" w:type="dxa"/>
            <w:vAlign w:val="center"/>
          </w:tcPr>
          <w:p>
            <w:pPr>
              <w:keepNext w:val="0"/>
              <w:keepLines w:val="0"/>
              <w:widowControl/>
              <w:suppressLineNumbers w:val="0"/>
              <w:jc w:val="right"/>
              <w:textAlignment w:val="center"/>
              <w:rPr>
                <w:rFonts w:hint="eastAsia" w:ascii="仿宋_GB2312" w:eastAsia="仿宋_GB2312"/>
                <w:b w:val="0"/>
                <w:bCs w:val="0"/>
                <w:kern w:val="0"/>
                <w:szCs w:val="21"/>
                <w:lang w:bidi="ar"/>
              </w:rPr>
            </w:pPr>
            <w:r>
              <w:rPr>
                <w:rFonts w:hint="eastAsia" w:ascii="仿宋_GB2312" w:hAnsi="宋体" w:eastAsia="仿宋_GB2312" w:cs="仿宋_GB2312"/>
                <w:i w:val="0"/>
                <w:iCs w:val="0"/>
                <w:color w:val="000000"/>
                <w:kern w:val="0"/>
                <w:sz w:val="21"/>
                <w:szCs w:val="21"/>
                <w:u w:val="none"/>
                <w:lang w:val="en-US" w:eastAsia="zh-CN" w:bidi="ar"/>
              </w:rPr>
              <w:t>-8.65%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pPr>
              <w:widowControl/>
              <w:jc w:val="center"/>
              <w:rPr>
                <w:rFonts w:hint="eastAsia" w:ascii="仿宋_GB2312" w:eastAsia="仿宋_GB2312"/>
                <w:szCs w:val="21"/>
              </w:rPr>
            </w:pPr>
          </w:p>
        </w:tc>
        <w:tc>
          <w:tcPr>
            <w:tcW w:w="3163" w:type="dxa"/>
            <w:vAlign w:val="center"/>
          </w:tcPr>
          <w:p>
            <w:pPr>
              <w:widowControl/>
              <w:ind w:firstLine="630" w:firstLineChars="300"/>
              <w:jc w:val="left"/>
              <w:rPr>
                <w:rFonts w:hint="eastAsia" w:ascii="仿宋_GB2312" w:eastAsia="仿宋_GB2312"/>
                <w:b/>
                <w:bCs/>
                <w:kern w:val="0"/>
                <w:szCs w:val="21"/>
              </w:rPr>
            </w:pPr>
            <w:r>
              <w:rPr>
                <w:rFonts w:hint="eastAsia" w:ascii="仿宋_GB2312" w:eastAsia="仿宋_GB2312"/>
                <w:kern w:val="0"/>
                <w:szCs w:val="21"/>
              </w:rPr>
              <w:t>轮胎</w:t>
            </w:r>
          </w:p>
        </w:tc>
        <w:tc>
          <w:tcPr>
            <w:tcW w:w="1470" w:type="dxa"/>
            <w:shd w:val="clear" w:color="auto" w:fill="auto"/>
            <w:vAlign w:val="center"/>
          </w:tcPr>
          <w:p>
            <w:pPr>
              <w:widowControl/>
              <w:jc w:val="right"/>
              <w:textAlignment w:val="center"/>
              <w:rPr>
                <w:rFonts w:hint="eastAsia" w:ascii="仿宋_GB2312" w:eastAsia="仿宋_GB2312"/>
                <w:b w:val="0"/>
                <w:bCs w:val="0"/>
                <w:kern w:val="0"/>
                <w:szCs w:val="21"/>
                <w:lang w:bidi="ar"/>
              </w:rPr>
            </w:pPr>
            <w:r>
              <w:rPr>
                <w:rFonts w:hint="eastAsia" w:ascii="仿宋_GB2312" w:eastAsia="仿宋_GB2312"/>
                <w:b w:val="0"/>
                <w:bCs w:val="0"/>
                <w:kern w:val="0"/>
                <w:szCs w:val="21"/>
                <w:lang w:bidi="ar"/>
              </w:rPr>
              <w:t xml:space="preserve"> 685.77 </w:t>
            </w:r>
          </w:p>
        </w:tc>
        <w:tc>
          <w:tcPr>
            <w:tcW w:w="1305" w:type="dxa"/>
            <w:shd w:val="clear" w:color="auto" w:fill="auto"/>
            <w:noWrap/>
            <w:vAlign w:val="center"/>
          </w:tcPr>
          <w:p>
            <w:pPr>
              <w:widowControl/>
              <w:jc w:val="right"/>
              <w:textAlignment w:val="center"/>
              <w:rPr>
                <w:rFonts w:hint="eastAsia" w:ascii="仿宋_GB2312" w:eastAsia="仿宋_GB2312"/>
                <w:b w:val="0"/>
                <w:bCs w:val="0"/>
                <w:kern w:val="0"/>
                <w:szCs w:val="21"/>
                <w:lang w:bidi="ar"/>
              </w:rPr>
            </w:pPr>
            <w:r>
              <w:rPr>
                <w:rFonts w:hint="eastAsia" w:ascii="仿宋_GB2312" w:eastAsia="仿宋_GB2312"/>
                <w:b w:val="0"/>
                <w:bCs w:val="0"/>
                <w:kern w:val="0"/>
                <w:szCs w:val="21"/>
                <w:lang w:bidi="ar"/>
              </w:rPr>
              <w:t>928.58</w:t>
            </w:r>
          </w:p>
        </w:tc>
        <w:tc>
          <w:tcPr>
            <w:tcW w:w="1470" w:type="dxa"/>
            <w:shd w:val="clear" w:color="auto" w:fill="auto"/>
            <w:noWrap/>
            <w:vAlign w:val="center"/>
          </w:tcPr>
          <w:p>
            <w:pPr>
              <w:keepNext w:val="0"/>
              <w:keepLines w:val="0"/>
              <w:widowControl/>
              <w:suppressLineNumbers w:val="0"/>
              <w:jc w:val="right"/>
              <w:textAlignment w:val="center"/>
              <w:rPr>
                <w:rFonts w:hint="eastAsia" w:ascii="仿宋_GB2312" w:eastAsia="仿宋_GB2312"/>
                <w:b w:val="0"/>
                <w:bCs w:val="0"/>
                <w:kern w:val="0"/>
                <w:szCs w:val="21"/>
                <w:lang w:bidi="ar"/>
              </w:rPr>
            </w:pPr>
            <w:r>
              <w:rPr>
                <w:rFonts w:hint="eastAsia" w:ascii="仿宋_GB2312" w:hAnsi="宋体" w:eastAsia="仿宋_GB2312" w:cs="仿宋_GB2312"/>
                <w:i w:val="0"/>
                <w:iCs w:val="0"/>
                <w:color w:val="000000"/>
                <w:kern w:val="0"/>
                <w:sz w:val="21"/>
                <w:szCs w:val="21"/>
                <w:u w:val="none"/>
                <w:lang w:val="en-US" w:eastAsia="zh-CN" w:bidi="ar"/>
              </w:rPr>
              <w:t xml:space="preserve"> -242.81 </w:t>
            </w:r>
          </w:p>
        </w:tc>
        <w:tc>
          <w:tcPr>
            <w:tcW w:w="1320" w:type="dxa"/>
            <w:vAlign w:val="center"/>
          </w:tcPr>
          <w:p>
            <w:pPr>
              <w:keepNext w:val="0"/>
              <w:keepLines w:val="0"/>
              <w:widowControl/>
              <w:suppressLineNumbers w:val="0"/>
              <w:jc w:val="right"/>
              <w:textAlignment w:val="center"/>
              <w:rPr>
                <w:rFonts w:hint="eastAsia" w:ascii="仿宋_GB2312" w:eastAsia="仿宋_GB2312"/>
                <w:b w:val="0"/>
                <w:bCs w:val="0"/>
                <w:kern w:val="0"/>
                <w:szCs w:val="21"/>
                <w:lang w:bidi="ar"/>
              </w:rPr>
            </w:pPr>
            <w:r>
              <w:rPr>
                <w:rFonts w:hint="eastAsia" w:ascii="仿宋_GB2312" w:hAnsi="宋体" w:eastAsia="仿宋_GB2312" w:cs="仿宋_GB2312"/>
                <w:i w:val="0"/>
                <w:iCs w:val="0"/>
                <w:color w:val="000000"/>
                <w:kern w:val="0"/>
                <w:sz w:val="21"/>
                <w:szCs w:val="21"/>
                <w:u w:val="none"/>
                <w:lang w:val="en-US" w:eastAsia="zh-CN" w:bidi="ar"/>
              </w:rPr>
              <w:t>-26.15%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pPr>
              <w:widowControl/>
              <w:jc w:val="center"/>
              <w:rPr>
                <w:rFonts w:hint="eastAsia" w:ascii="仿宋_GB2312" w:eastAsia="仿宋_GB2312"/>
                <w:szCs w:val="21"/>
              </w:rPr>
            </w:pPr>
          </w:p>
        </w:tc>
        <w:tc>
          <w:tcPr>
            <w:tcW w:w="3163" w:type="dxa"/>
            <w:vAlign w:val="center"/>
          </w:tcPr>
          <w:p>
            <w:pPr>
              <w:widowControl/>
              <w:ind w:firstLine="630" w:firstLineChars="300"/>
              <w:jc w:val="left"/>
              <w:rPr>
                <w:rFonts w:hint="eastAsia" w:ascii="仿宋_GB2312" w:eastAsia="仿宋_GB2312"/>
                <w:b/>
                <w:bCs/>
                <w:kern w:val="0"/>
                <w:szCs w:val="21"/>
              </w:rPr>
            </w:pPr>
            <w:r>
              <w:rPr>
                <w:rFonts w:hint="eastAsia" w:ascii="仿宋_GB2312" w:eastAsia="仿宋_GB2312"/>
                <w:kern w:val="0"/>
                <w:szCs w:val="21"/>
              </w:rPr>
              <w:t>折旧</w:t>
            </w:r>
          </w:p>
        </w:tc>
        <w:tc>
          <w:tcPr>
            <w:tcW w:w="1470" w:type="dxa"/>
            <w:shd w:val="clear" w:color="auto" w:fill="auto"/>
            <w:vAlign w:val="center"/>
          </w:tcPr>
          <w:p>
            <w:pPr>
              <w:widowControl/>
              <w:jc w:val="right"/>
              <w:textAlignment w:val="center"/>
              <w:rPr>
                <w:rFonts w:hint="eastAsia" w:ascii="仿宋_GB2312" w:eastAsia="仿宋_GB2312"/>
                <w:b w:val="0"/>
                <w:bCs w:val="0"/>
                <w:kern w:val="0"/>
                <w:szCs w:val="21"/>
                <w:lang w:bidi="ar"/>
              </w:rPr>
            </w:pPr>
            <w:r>
              <w:rPr>
                <w:rFonts w:hint="eastAsia" w:ascii="仿宋_GB2312" w:eastAsia="仿宋_GB2312"/>
                <w:b w:val="0"/>
                <w:bCs w:val="0"/>
                <w:kern w:val="0"/>
                <w:szCs w:val="21"/>
                <w:lang w:bidi="ar"/>
              </w:rPr>
              <w:t xml:space="preserve"> 46,534.06 </w:t>
            </w:r>
          </w:p>
        </w:tc>
        <w:tc>
          <w:tcPr>
            <w:tcW w:w="1305" w:type="dxa"/>
            <w:shd w:val="clear" w:color="auto" w:fill="auto"/>
            <w:noWrap/>
            <w:vAlign w:val="center"/>
          </w:tcPr>
          <w:p>
            <w:pPr>
              <w:widowControl/>
              <w:jc w:val="right"/>
              <w:textAlignment w:val="center"/>
              <w:rPr>
                <w:rFonts w:hint="eastAsia" w:ascii="仿宋_GB2312" w:eastAsia="仿宋_GB2312"/>
                <w:b w:val="0"/>
                <w:bCs w:val="0"/>
                <w:kern w:val="0"/>
                <w:szCs w:val="21"/>
                <w:lang w:bidi="ar"/>
              </w:rPr>
            </w:pPr>
            <w:r>
              <w:rPr>
                <w:rFonts w:hint="eastAsia" w:ascii="仿宋_GB2312" w:eastAsia="仿宋_GB2312"/>
                <w:b w:val="0"/>
                <w:bCs w:val="0"/>
                <w:kern w:val="0"/>
                <w:szCs w:val="21"/>
                <w:lang w:bidi="ar"/>
              </w:rPr>
              <w:t>53,573.32</w:t>
            </w:r>
          </w:p>
        </w:tc>
        <w:tc>
          <w:tcPr>
            <w:tcW w:w="1470" w:type="dxa"/>
            <w:shd w:val="clear" w:color="auto" w:fill="auto"/>
            <w:noWrap/>
            <w:vAlign w:val="center"/>
          </w:tcPr>
          <w:p>
            <w:pPr>
              <w:keepNext w:val="0"/>
              <w:keepLines w:val="0"/>
              <w:widowControl/>
              <w:suppressLineNumbers w:val="0"/>
              <w:jc w:val="right"/>
              <w:textAlignment w:val="center"/>
              <w:rPr>
                <w:rFonts w:hint="eastAsia" w:ascii="仿宋_GB2312" w:eastAsia="仿宋_GB2312"/>
                <w:b w:val="0"/>
                <w:bCs w:val="0"/>
                <w:kern w:val="0"/>
                <w:szCs w:val="21"/>
                <w:lang w:bidi="ar"/>
              </w:rPr>
            </w:pPr>
            <w:r>
              <w:rPr>
                <w:rFonts w:hint="eastAsia" w:ascii="仿宋_GB2312" w:hAnsi="宋体" w:eastAsia="仿宋_GB2312" w:cs="仿宋_GB2312"/>
                <w:i w:val="0"/>
                <w:iCs w:val="0"/>
                <w:color w:val="000000"/>
                <w:kern w:val="0"/>
                <w:sz w:val="21"/>
                <w:szCs w:val="21"/>
                <w:u w:val="none"/>
                <w:lang w:val="en-US" w:eastAsia="zh-CN" w:bidi="ar"/>
              </w:rPr>
              <w:t xml:space="preserve"> -7,039.26 </w:t>
            </w:r>
          </w:p>
        </w:tc>
        <w:tc>
          <w:tcPr>
            <w:tcW w:w="1320" w:type="dxa"/>
            <w:vAlign w:val="center"/>
          </w:tcPr>
          <w:p>
            <w:pPr>
              <w:keepNext w:val="0"/>
              <w:keepLines w:val="0"/>
              <w:widowControl/>
              <w:suppressLineNumbers w:val="0"/>
              <w:jc w:val="right"/>
              <w:textAlignment w:val="center"/>
              <w:rPr>
                <w:rFonts w:hint="eastAsia" w:ascii="仿宋_GB2312" w:eastAsia="仿宋_GB2312"/>
                <w:b w:val="0"/>
                <w:bCs w:val="0"/>
                <w:kern w:val="0"/>
                <w:szCs w:val="21"/>
                <w:lang w:bidi="ar"/>
              </w:rPr>
            </w:pPr>
            <w:r>
              <w:rPr>
                <w:rFonts w:hint="eastAsia" w:ascii="仿宋_GB2312" w:hAnsi="宋体" w:eastAsia="仿宋_GB2312" w:cs="仿宋_GB2312"/>
                <w:i w:val="0"/>
                <w:iCs w:val="0"/>
                <w:color w:val="000000"/>
                <w:kern w:val="0"/>
                <w:sz w:val="21"/>
                <w:szCs w:val="21"/>
                <w:u w:val="none"/>
                <w:lang w:val="en-US" w:eastAsia="zh-CN" w:bidi="ar"/>
              </w:rPr>
              <w:t>-13.14%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pPr>
              <w:widowControl/>
              <w:jc w:val="center"/>
              <w:rPr>
                <w:rFonts w:hint="eastAsia" w:ascii="仿宋_GB2312" w:eastAsia="仿宋_GB2312"/>
                <w:szCs w:val="21"/>
              </w:rPr>
            </w:pPr>
          </w:p>
        </w:tc>
        <w:tc>
          <w:tcPr>
            <w:tcW w:w="3163" w:type="dxa"/>
            <w:vAlign w:val="center"/>
          </w:tcPr>
          <w:p>
            <w:pPr>
              <w:widowControl/>
              <w:ind w:firstLine="630" w:firstLineChars="300"/>
              <w:jc w:val="left"/>
              <w:rPr>
                <w:rFonts w:hint="eastAsia" w:ascii="仿宋_GB2312" w:eastAsia="仿宋_GB2312"/>
                <w:b/>
                <w:bCs/>
                <w:kern w:val="0"/>
                <w:szCs w:val="21"/>
              </w:rPr>
            </w:pPr>
            <w:r>
              <w:rPr>
                <w:rFonts w:hint="eastAsia" w:ascii="仿宋_GB2312" w:eastAsia="仿宋_GB2312"/>
                <w:kern w:val="0"/>
                <w:szCs w:val="21"/>
              </w:rPr>
              <w:t>修理费</w:t>
            </w:r>
          </w:p>
        </w:tc>
        <w:tc>
          <w:tcPr>
            <w:tcW w:w="1470" w:type="dxa"/>
            <w:shd w:val="clear" w:color="auto" w:fill="auto"/>
            <w:vAlign w:val="center"/>
          </w:tcPr>
          <w:p>
            <w:pPr>
              <w:widowControl/>
              <w:jc w:val="right"/>
              <w:textAlignment w:val="center"/>
              <w:rPr>
                <w:rFonts w:hint="eastAsia" w:ascii="仿宋_GB2312" w:eastAsia="仿宋_GB2312"/>
                <w:b w:val="0"/>
                <w:bCs w:val="0"/>
                <w:kern w:val="0"/>
                <w:szCs w:val="21"/>
                <w:lang w:bidi="ar"/>
              </w:rPr>
            </w:pPr>
            <w:r>
              <w:rPr>
                <w:rFonts w:hint="eastAsia" w:ascii="仿宋_GB2312" w:eastAsia="仿宋_GB2312"/>
                <w:b w:val="0"/>
                <w:bCs w:val="0"/>
                <w:kern w:val="0"/>
                <w:szCs w:val="21"/>
                <w:lang w:bidi="ar"/>
              </w:rPr>
              <w:t xml:space="preserve">7,326.45 </w:t>
            </w:r>
          </w:p>
        </w:tc>
        <w:tc>
          <w:tcPr>
            <w:tcW w:w="1305" w:type="dxa"/>
            <w:shd w:val="clear" w:color="auto" w:fill="auto"/>
            <w:noWrap/>
            <w:vAlign w:val="center"/>
          </w:tcPr>
          <w:p>
            <w:pPr>
              <w:widowControl/>
              <w:jc w:val="right"/>
              <w:textAlignment w:val="center"/>
              <w:rPr>
                <w:rFonts w:hint="eastAsia" w:ascii="仿宋_GB2312" w:eastAsia="仿宋_GB2312"/>
                <w:b w:val="0"/>
                <w:bCs w:val="0"/>
                <w:kern w:val="0"/>
                <w:szCs w:val="21"/>
                <w:lang w:bidi="ar"/>
              </w:rPr>
            </w:pPr>
            <w:r>
              <w:rPr>
                <w:rFonts w:hint="eastAsia" w:ascii="仿宋_GB2312" w:eastAsia="仿宋_GB2312"/>
                <w:b w:val="0"/>
                <w:bCs w:val="0"/>
                <w:kern w:val="0"/>
                <w:szCs w:val="21"/>
                <w:lang w:bidi="ar"/>
              </w:rPr>
              <w:t>8,610.25</w:t>
            </w:r>
          </w:p>
        </w:tc>
        <w:tc>
          <w:tcPr>
            <w:tcW w:w="1470" w:type="dxa"/>
            <w:shd w:val="clear" w:color="auto" w:fill="auto"/>
            <w:noWrap/>
            <w:vAlign w:val="center"/>
          </w:tcPr>
          <w:p>
            <w:pPr>
              <w:keepNext w:val="0"/>
              <w:keepLines w:val="0"/>
              <w:widowControl/>
              <w:suppressLineNumbers w:val="0"/>
              <w:jc w:val="right"/>
              <w:textAlignment w:val="center"/>
              <w:rPr>
                <w:rFonts w:hint="eastAsia" w:ascii="仿宋_GB2312" w:eastAsia="仿宋_GB2312"/>
                <w:b w:val="0"/>
                <w:bCs w:val="0"/>
                <w:kern w:val="0"/>
                <w:szCs w:val="21"/>
                <w:lang w:bidi="ar"/>
              </w:rPr>
            </w:pPr>
            <w:r>
              <w:rPr>
                <w:rFonts w:hint="eastAsia" w:ascii="仿宋_GB2312" w:hAnsi="宋体" w:eastAsia="仿宋_GB2312" w:cs="仿宋_GB2312"/>
                <w:i w:val="0"/>
                <w:iCs w:val="0"/>
                <w:color w:val="000000"/>
                <w:kern w:val="0"/>
                <w:sz w:val="21"/>
                <w:szCs w:val="21"/>
                <w:u w:val="none"/>
                <w:lang w:val="en-US" w:eastAsia="zh-CN" w:bidi="ar"/>
              </w:rPr>
              <w:t xml:space="preserve"> -1,283.80  </w:t>
            </w:r>
          </w:p>
        </w:tc>
        <w:tc>
          <w:tcPr>
            <w:tcW w:w="1320" w:type="dxa"/>
            <w:vAlign w:val="center"/>
          </w:tcPr>
          <w:p>
            <w:pPr>
              <w:keepNext w:val="0"/>
              <w:keepLines w:val="0"/>
              <w:widowControl/>
              <w:suppressLineNumbers w:val="0"/>
              <w:jc w:val="right"/>
              <w:textAlignment w:val="center"/>
              <w:rPr>
                <w:rFonts w:hint="eastAsia" w:ascii="仿宋_GB2312" w:eastAsia="仿宋_GB2312"/>
                <w:b w:val="0"/>
                <w:bCs w:val="0"/>
                <w:kern w:val="0"/>
                <w:szCs w:val="21"/>
                <w:lang w:bidi="ar"/>
              </w:rPr>
            </w:pPr>
            <w:r>
              <w:rPr>
                <w:rFonts w:hint="eastAsia" w:ascii="仿宋_GB2312" w:hAnsi="宋体" w:eastAsia="仿宋_GB2312" w:cs="仿宋_GB2312"/>
                <w:i w:val="0"/>
                <w:iCs w:val="0"/>
                <w:color w:val="000000"/>
                <w:kern w:val="0"/>
                <w:sz w:val="21"/>
                <w:szCs w:val="21"/>
                <w:u w:val="none"/>
                <w:lang w:val="en-US" w:eastAsia="zh-CN" w:bidi="ar"/>
              </w:rPr>
              <w:t>-14.91%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pPr>
              <w:widowControl/>
              <w:jc w:val="center"/>
              <w:rPr>
                <w:rFonts w:hint="eastAsia" w:ascii="仿宋_GB2312" w:eastAsia="仿宋_GB2312"/>
                <w:szCs w:val="21"/>
              </w:rPr>
            </w:pPr>
          </w:p>
        </w:tc>
        <w:tc>
          <w:tcPr>
            <w:tcW w:w="3163" w:type="dxa"/>
            <w:vAlign w:val="center"/>
          </w:tcPr>
          <w:p>
            <w:pPr>
              <w:widowControl/>
              <w:ind w:firstLine="630" w:firstLineChars="300"/>
              <w:jc w:val="left"/>
              <w:rPr>
                <w:rFonts w:hint="eastAsia" w:ascii="仿宋_GB2312" w:eastAsia="仿宋_GB2312"/>
                <w:b/>
                <w:bCs/>
                <w:kern w:val="0"/>
                <w:szCs w:val="21"/>
              </w:rPr>
            </w:pPr>
            <w:r>
              <w:rPr>
                <w:rFonts w:hint="eastAsia" w:ascii="仿宋_GB2312" w:eastAsia="仿宋_GB2312"/>
                <w:kern w:val="0"/>
                <w:szCs w:val="21"/>
              </w:rPr>
              <w:t>车辆保险及事故费</w:t>
            </w:r>
          </w:p>
        </w:tc>
        <w:tc>
          <w:tcPr>
            <w:tcW w:w="1470" w:type="dxa"/>
            <w:shd w:val="clear" w:color="auto" w:fill="auto"/>
            <w:vAlign w:val="center"/>
          </w:tcPr>
          <w:p>
            <w:pPr>
              <w:widowControl/>
              <w:jc w:val="right"/>
              <w:textAlignment w:val="center"/>
              <w:rPr>
                <w:rFonts w:hint="eastAsia" w:ascii="仿宋_GB2312" w:eastAsia="仿宋_GB2312"/>
                <w:b w:val="0"/>
                <w:bCs w:val="0"/>
                <w:kern w:val="0"/>
                <w:szCs w:val="21"/>
                <w:lang w:bidi="ar"/>
              </w:rPr>
            </w:pPr>
            <w:r>
              <w:rPr>
                <w:rFonts w:hint="eastAsia" w:ascii="仿宋_GB2312" w:eastAsia="仿宋_GB2312"/>
                <w:b w:val="0"/>
                <w:bCs w:val="0"/>
                <w:kern w:val="0"/>
                <w:szCs w:val="21"/>
                <w:lang w:bidi="ar"/>
              </w:rPr>
              <w:t xml:space="preserve"> 3,282.05 </w:t>
            </w:r>
          </w:p>
        </w:tc>
        <w:tc>
          <w:tcPr>
            <w:tcW w:w="1305" w:type="dxa"/>
            <w:shd w:val="clear" w:color="auto" w:fill="auto"/>
            <w:noWrap/>
            <w:vAlign w:val="center"/>
          </w:tcPr>
          <w:p>
            <w:pPr>
              <w:widowControl/>
              <w:jc w:val="right"/>
              <w:textAlignment w:val="center"/>
              <w:rPr>
                <w:rFonts w:hint="eastAsia" w:ascii="仿宋_GB2312" w:eastAsia="仿宋_GB2312"/>
                <w:b w:val="0"/>
                <w:bCs w:val="0"/>
                <w:kern w:val="0"/>
                <w:szCs w:val="21"/>
                <w:lang w:bidi="ar"/>
              </w:rPr>
            </w:pPr>
            <w:r>
              <w:rPr>
                <w:rFonts w:hint="eastAsia" w:ascii="仿宋_GB2312" w:eastAsia="仿宋_GB2312"/>
                <w:b w:val="0"/>
                <w:bCs w:val="0"/>
                <w:kern w:val="0"/>
                <w:szCs w:val="21"/>
                <w:lang w:bidi="ar"/>
              </w:rPr>
              <w:t>3,622.83</w:t>
            </w:r>
          </w:p>
        </w:tc>
        <w:tc>
          <w:tcPr>
            <w:tcW w:w="1470" w:type="dxa"/>
            <w:shd w:val="clear" w:color="auto" w:fill="auto"/>
            <w:noWrap/>
            <w:vAlign w:val="center"/>
          </w:tcPr>
          <w:p>
            <w:pPr>
              <w:keepNext w:val="0"/>
              <w:keepLines w:val="0"/>
              <w:widowControl/>
              <w:suppressLineNumbers w:val="0"/>
              <w:jc w:val="right"/>
              <w:textAlignment w:val="center"/>
              <w:rPr>
                <w:rFonts w:hint="eastAsia" w:ascii="仿宋_GB2312" w:eastAsia="仿宋_GB2312"/>
                <w:b w:val="0"/>
                <w:bCs w:val="0"/>
                <w:kern w:val="0"/>
                <w:szCs w:val="21"/>
                <w:lang w:bidi="ar"/>
              </w:rPr>
            </w:pPr>
            <w:r>
              <w:rPr>
                <w:rFonts w:hint="eastAsia" w:ascii="仿宋_GB2312" w:hAnsi="宋体" w:eastAsia="仿宋_GB2312" w:cs="仿宋_GB2312"/>
                <w:i w:val="0"/>
                <w:iCs w:val="0"/>
                <w:color w:val="000000"/>
                <w:kern w:val="0"/>
                <w:sz w:val="21"/>
                <w:szCs w:val="21"/>
                <w:u w:val="none"/>
                <w:lang w:val="en-US" w:eastAsia="zh-CN" w:bidi="ar"/>
              </w:rPr>
              <w:t xml:space="preserve"> -340.78 </w:t>
            </w:r>
          </w:p>
        </w:tc>
        <w:tc>
          <w:tcPr>
            <w:tcW w:w="1320" w:type="dxa"/>
            <w:vAlign w:val="center"/>
          </w:tcPr>
          <w:p>
            <w:pPr>
              <w:keepNext w:val="0"/>
              <w:keepLines w:val="0"/>
              <w:widowControl/>
              <w:suppressLineNumbers w:val="0"/>
              <w:jc w:val="right"/>
              <w:textAlignment w:val="center"/>
              <w:rPr>
                <w:rFonts w:hint="eastAsia" w:ascii="仿宋_GB2312" w:eastAsia="仿宋_GB2312"/>
                <w:b w:val="0"/>
                <w:bCs w:val="0"/>
                <w:kern w:val="0"/>
                <w:szCs w:val="21"/>
                <w:lang w:bidi="ar"/>
              </w:rPr>
            </w:pPr>
            <w:r>
              <w:rPr>
                <w:rFonts w:hint="eastAsia" w:ascii="仿宋_GB2312" w:hAnsi="宋体" w:eastAsia="仿宋_GB2312" w:cs="仿宋_GB2312"/>
                <w:i w:val="0"/>
                <w:iCs w:val="0"/>
                <w:color w:val="000000"/>
                <w:kern w:val="0"/>
                <w:sz w:val="21"/>
                <w:szCs w:val="21"/>
                <w:u w:val="none"/>
                <w:lang w:val="en-US" w:eastAsia="zh-CN" w:bidi="ar"/>
              </w:rPr>
              <w:t>-9.41%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pPr>
              <w:widowControl/>
              <w:jc w:val="center"/>
              <w:rPr>
                <w:rFonts w:hint="eastAsia" w:ascii="仿宋_GB2312" w:eastAsia="仿宋_GB2312"/>
                <w:szCs w:val="21"/>
              </w:rPr>
            </w:pPr>
          </w:p>
        </w:tc>
        <w:tc>
          <w:tcPr>
            <w:tcW w:w="3163" w:type="dxa"/>
            <w:vAlign w:val="center"/>
          </w:tcPr>
          <w:p>
            <w:pPr>
              <w:widowControl/>
              <w:ind w:firstLine="630" w:firstLineChars="300"/>
              <w:jc w:val="left"/>
              <w:rPr>
                <w:rFonts w:hint="eastAsia" w:ascii="仿宋_GB2312" w:eastAsia="仿宋_GB2312"/>
                <w:kern w:val="0"/>
                <w:szCs w:val="21"/>
              </w:rPr>
            </w:pPr>
            <w:r>
              <w:rPr>
                <w:rFonts w:hint="eastAsia" w:ascii="仿宋_GB2312" w:eastAsia="仿宋_GB2312"/>
                <w:kern w:val="0"/>
                <w:szCs w:val="21"/>
              </w:rPr>
              <w:t>场站物业管理及租赁费</w:t>
            </w:r>
          </w:p>
        </w:tc>
        <w:tc>
          <w:tcPr>
            <w:tcW w:w="1470" w:type="dxa"/>
            <w:shd w:val="clear" w:color="auto" w:fill="auto"/>
            <w:vAlign w:val="center"/>
          </w:tcPr>
          <w:p>
            <w:pPr>
              <w:widowControl/>
              <w:jc w:val="right"/>
              <w:textAlignment w:val="center"/>
              <w:rPr>
                <w:rFonts w:hint="eastAsia" w:ascii="仿宋_GB2312" w:eastAsia="仿宋_GB2312"/>
                <w:b w:val="0"/>
                <w:bCs w:val="0"/>
                <w:kern w:val="0"/>
                <w:szCs w:val="21"/>
                <w:lang w:bidi="ar"/>
              </w:rPr>
            </w:pPr>
            <w:r>
              <w:rPr>
                <w:rFonts w:hint="eastAsia" w:ascii="仿宋_GB2312" w:eastAsia="仿宋_GB2312"/>
                <w:b w:val="0"/>
                <w:bCs w:val="0"/>
                <w:kern w:val="0"/>
                <w:szCs w:val="21"/>
                <w:lang w:bidi="ar"/>
              </w:rPr>
              <w:t xml:space="preserve"> 4,961.6</w:t>
            </w:r>
            <w:r>
              <w:rPr>
                <w:rFonts w:hint="eastAsia" w:ascii="仿宋_GB2312" w:eastAsia="仿宋_GB2312"/>
                <w:b w:val="0"/>
                <w:bCs w:val="0"/>
                <w:kern w:val="0"/>
                <w:szCs w:val="21"/>
                <w:lang w:val="en-US" w:eastAsia="zh-CN" w:bidi="ar"/>
              </w:rPr>
              <w:t>2</w:t>
            </w:r>
            <w:r>
              <w:rPr>
                <w:rFonts w:hint="eastAsia" w:ascii="仿宋_GB2312" w:eastAsia="仿宋_GB2312"/>
                <w:b w:val="0"/>
                <w:bCs w:val="0"/>
                <w:kern w:val="0"/>
                <w:szCs w:val="21"/>
                <w:lang w:bidi="ar"/>
              </w:rPr>
              <w:t xml:space="preserve"> </w:t>
            </w:r>
          </w:p>
        </w:tc>
        <w:tc>
          <w:tcPr>
            <w:tcW w:w="1305" w:type="dxa"/>
            <w:shd w:val="clear" w:color="auto" w:fill="auto"/>
            <w:noWrap/>
            <w:vAlign w:val="center"/>
          </w:tcPr>
          <w:p>
            <w:pPr>
              <w:widowControl/>
              <w:jc w:val="right"/>
              <w:textAlignment w:val="center"/>
              <w:rPr>
                <w:rFonts w:hint="eastAsia" w:ascii="仿宋_GB2312" w:eastAsia="仿宋_GB2312"/>
                <w:b w:val="0"/>
                <w:bCs w:val="0"/>
                <w:kern w:val="0"/>
                <w:szCs w:val="21"/>
                <w:lang w:bidi="ar"/>
              </w:rPr>
            </w:pPr>
            <w:r>
              <w:rPr>
                <w:rFonts w:hint="eastAsia" w:ascii="仿宋_GB2312" w:eastAsia="仿宋_GB2312"/>
                <w:b w:val="0"/>
                <w:bCs w:val="0"/>
                <w:kern w:val="0"/>
                <w:szCs w:val="21"/>
                <w:lang w:bidi="ar"/>
              </w:rPr>
              <w:t>4,473.89</w:t>
            </w:r>
          </w:p>
        </w:tc>
        <w:tc>
          <w:tcPr>
            <w:tcW w:w="1470" w:type="dxa"/>
            <w:shd w:val="clear" w:color="auto" w:fill="auto"/>
            <w:noWrap/>
            <w:vAlign w:val="center"/>
          </w:tcPr>
          <w:p>
            <w:pPr>
              <w:keepNext w:val="0"/>
              <w:keepLines w:val="0"/>
              <w:widowControl/>
              <w:suppressLineNumbers w:val="0"/>
              <w:jc w:val="right"/>
              <w:textAlignment w:val="center"/>
              <w:rPr>
                <w:rFonts w:hint="eastAsia" w:ascii="仿宋_GB2312" w:eastAsia="仿宋_GB2312"/>
                <w:b w:val="0"/>
                <w:bCs w:val="0"/>
                <w:kern w:val="0"/>
                <w:szCs w:val="21"/>
                <w:lang w:bidi="ar"/>
              </w:rPr>
            </w:pPr>
            <w:r>
              <w:rPr>
                <w:rFonts w:hint="eastAsia" w:ascii="仿宋_GB2312" w:hAnsi="宋体" w:eastAsia="仿宋_GB2312" w:cs="仿宋_GB2312"/>
                <w:i w:val="0"/>
                <w:iCs w:val="0"/>
                <w:color w:val="000000"/>
                <w:kern w:val="0"/>
                <w:sz w:val="21"/>
                <w:szCs w:val="21"/>
                <w:u w:val="none"/>
                <w:lang w:val="en-US" w:eastAsia="zh-CN" w:bidi="ar"/>
              </w:rPr>
              <w:t xml:space="preserve"> 487.73 </w:t>
            </w:r>
          </w:p>
        </w:tc>
        <w:tc>
          <w:tcPr>
            <w:tcW w:w="1320" w:type="dxa"/>
            <w:vAlign w:val="center"/>
          </w:tcPr>
          <w:p>
            <w:pPr>
              <w:keepNext w:val="0"/>
              <w:keepLines w:val="0"/>
              <w:widowControl/>
              <w:suppressLineNumbers w:val="0"/>
              <w:jc w:val="right"/>
              <w:textAlignment w:val="center"/>
              <w:rPr>
                <w:rFonts w:hint="eastAsia" w:ascii="仿宋_GB2312" w:eastAsia="仿宋_GB2312"/>
                <w:b w:val="0"/>
                <w:bCs w:val="0"/>
                <w:kern w:val="0"/>
                <w:szCs w:val="21"/>
                <w:lang w:bidi="ar"/>
              </w:rPr>
            </w:pPr>
            <w:r>
              <w:rPr>
                <w:rFonts w:hint="eastAsia" w:ascii="仿宋_GB2312" w:hAnsi="宋体" w:eastAsia="仿宋_GB2312" w:cs="仿宋_GB2312"/>
                <w:i w:val="0"/>
                <w:iCs w:val="0"/>
                <w:color w:val="000000"/>
                <w:kern w:val="0"/>
                <w:sz w:val="21"/>
                <w:szCs w:val="21"/>
                <w:u w:val="none"/>
                <w:lang w:val="en-US" w:eastAsia="zh-CN" w:bidi="ar"/>
              </w:rPr>
              <w:t>10.90%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pPr>
              <w:widowControl/>
              <w:jc w:val="center"/>
              <w:rPr>
                <w:rFonts w:hint="eastAsia" w:ascii="仿宋_GB2312" w:eastAsia="仿宋_GB2312"/>
                <w:szCs w:val="21"/>
              </w:rPr>
            </w:pPr>
          </w:p>
        </w:tc>
        <w:tc>
          <w:tcPr>
            <w:tcW w:w="3163" w:type="dxa"/>
            <w:vAlign w:val="center"/>
          </w:tcPr>
          <w:p>
            <w:pPr>
              <w:widowControl/>
              <w:ind w:firstLine="630" w:firstLineChars="300"/>
              <w:jc w:val="left"/>
              <w:rPr>
                <w:rFonts w:hint="eastAsia" w:ascii="仿宋_GB2312" w:eastAsia="仿宋_GB2312"/>
                <w:kern w:val="0"/>
                <w:szCs w:val="21"/>
              </w:rPr>
            </w:pPr>
            <w:r>
              <w:rPr>
                <w:rFonts w:hint="eastAsia" w:ascii="仿宋_GB2312" w:eastAsia="仿宋_GB2312"/>
                <w:kern w:val="0"/>
                <w:szCs w:val="21"/>
              </w:rPr>
              <w:t>车上安保人员服务费</w:t>
            </w:r>
          </w:p>
        </w:tc>
        <w:tc>
          <w:tcPr>
            <w:tcW w:w="1470" w:type="dxa"/>
            <w:shd w:val="clear" w:color="auto" w:fill="auto"/>
            <w:vAlign w:val="center"/>
          </w:tcPr>
          <w:p>
            <w:pPr>
              <w:widowControl/>
              <w:jc w:val="right"/>
              <w:textAlignment w:val="center"/>
              <w:rPr>
                <w:rFonts w:hint="eastAsia" w:ascii="仿宋_GB2312" w:eastAsia="仿宋_GB2312"/>
                <w:b w:val="0"/>
                <w:bCs w:val="0"/>
                <w:kern w:val="0"/>
                <w:szCs w:val="21"/>
                <w:lang w:bidi="ar"/>
              </w:rPr>
            </w:pPr>
            <w:r>
              <w:rPr>
                <w:rFonts w:hint="eastAsia" w:ascii="仿宋_GB2312" w:eastAsia="仿宋_GB2312"/>
                <w:b w:val="0"/>
                <w:bCs w:val="0"/>
                <w:kern w:val="0"/>
                <w:szCs w:val="21"/>
                <w:lang w:bidi="ar"/>
              </w:rPr>
              <w:t xml:space="preserve">6,698.89 </w:t>
            </w:r>
          </w:p>
        </w:tc>
        <w:tc>
          <w:tcPr>
            <w:tcW w:w="1305" w:type="dxa"/>
            <w:shd w:val="clear" w:color="auto" w:fill="auto"/>
            <w:noWrap/>
            <w:vAlign w:val="center"/>
          </w:tcPr>
          <w:p>
            <w:pPr>
              <w:widowControl/>
              <w:jc w:val="right"/>
              <w:textAlignment w:val="center"/>
              <w:rPr>
                <w:rFonts w:hint="eastAsia" w:ascii="仿宋_GB2312" w:eastAsia="仿宋_GB2312"/>
                <w:b w:val="0"/>
                <w:bCs w:val="0"/>
                <w:kern w:val="0"/>
                <w:szCs w:val="21"/>
                <w:lang w:bidi="ar"/>
              </w:rPr>
            </w:pPr>
            <w:r>
              <w:rPr>
                <w:rFonts w:hint="eastAsia" w:ascii="仿宋_GB2312" w:eastAsia="仿宋_GB2312"/>
                <w:b w:val="0"/>
                <w:bCs w:val="0"/>
                <w:kern w:val="0"/>
                <w:szCs w:val="21"/>
                <w:lang w:bidi="ar"/>
              </w:rPr>
              <w:t>6,331.29</w:t>
            </w:r>
          </w:p>
        </w:tc>
        <w:tc>
          <w:tcPr>
            <w:tcW w:w="1470" w:type="dxa"/>
            <w:shd w:val="clear" w:color="auto" w:fill="auto"/>
            <w:noWrap/>
            <w:vAlign w:val="center"/>
          </w:tcPr>
          <w:p>
            <w:pPr>
              <w:keepNext w:val="0"/>
              <w:keepLines w:val="0"/>
              <w:widowControl/>
              <w:suppressLineNumbers w:val="0"/>
              <w:jc w:val="right"/>
              <w:textAlignment w:val="center"/>
              <w:rPr>
                <w:rFonts w:hint="eastAsia" w:ascii="仿宋_GB2312" w:eastAsia="仿宋_GB2312"/>
                <w:b w:val="0"/>
                <w:bCs w:val="0"/>
                <w:kern w:val="0"/>
                <w:szCs w:val="21"/>
                <w:lang w:bidi="ar"/>
              </w:rPr>
            </w:pPr>
            <w:r>
              <w:rPr>
                <w:rFonts w:hint="eastAsia" w:ascii="仿宋_GB2312" w:hAnsi="宋体" w:eastAsia="仿宋_GB2312" w:cs="仿宋_GB2312"/>
                <w:i w:val="0"/>
                <w:iCs w:val="0"/>
                <w:color w:val="000000"/>
                <w:kern w:val="0"/>
                <w:sz w:val="21"/>
                <w:szCs w:val="21"/>
                <w:u w:val="none"/>
                <w:lang w:val="en-US" w:eastAsia="zh-CN" w:bidi="ar"/>
              </w:rPr>
              <w:t xml:space="preserve">  367.60  </w:t>
            </w:r>
          </w:p>
        </w:tc>
        <w:tc>
          <w:tcPr>
            <w:tcW w:w="1320" w:type="dxa"/>
            <w:vAlign w:val="center"/>
          </w:tcPr>
          <w:p>
            <w:pPr>
              <w:keepNext w:val="0"/>
              <w:keepLines w:val="0"/>
              <w:widowControl/>
              <w:suppressLineNumbers w:val="0"/>
              <w:jc w:val="right"/>
              <w:textAlignment w:val="center"/>
              <w:rPr>
                <w:rFonts w:hint="eastAsia" w:ascii="仿宋_GB2312" w:eastAsia="仿宋_GB2312"/>
                <w:b w:val="0"/>
                <w:bCs w:val="0"/>
                <w:kern w:val="0"/>
                <w:szCs w:val="21"/>
                <w:lang w:bidi="ar"/>
              </w:rPr>
            </w:pPr>
            <w:r>
              <w:rPr>
                <w:rFonts w:hint="eastAsia" w:ascii="仿宋_GB2312" w:hAnsi="宋体" w:eastAsia="仿宋_GB2312" w:cs="仿宋_GB2312"/>
                <w:i w:val="0"/>
                <w:iCs w:val="0"/>
                <w:color w:val="000000"/>
                <w:kern w:val="0"/>
                <w:sz w:val="21"/>
                <w:szCs w:val="21"/>
                <w:u w:val="none"/>
                <w:lang w:val="en-US" w:eastAsia="zh-CN" w:bidi="ar"/>
              </w:rPr>
              <w:t>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pPr>
              <w:widowControl/>
              <w:jc w:val="center"/>
              <w:rPr>
                <w:rFonts w:hint="eastAsia" w:ascii="仿宋_GB2312" w:eastAsia="仿宋_GB2312"/>
                <w:szCs w:val="21"/>
              </w:rPr>
            </w:pPr>
          </w:p>
        </w:tc>
        <w:tc>
          <w:tcPr>
            <w:tcW w:w="3163" w:type="dxa"/>
            <w:vAlign w:val="center"/>
          </w:tcPr>
          <w:p>
            <w:pPr>
              <w:widowControl/>
              <w:ind w:firstLine="630" w:firstLineChars="300"/>
              <w:jc w:val="left"/>
              <w:rPr>
                <w:rFonts w:hint="eastAsia" w:ascii="仿宋_GB2312" w:eastAsia="仿宋_GB2312"/>
                <w:kern w:val="0"/>
                <w:szCs w:val="21"/>
              </w:rPr>
            </w:pPr>
            <w:r>
              <w:rPr>
                <w:rFonts w:hint="eastAsia" w:ascii="仿宋_GB2312" w:eastAsia="仿宋_GB2312"/>
                <w:kern w:val="0"/>
                <w:szCs w:val="21"/>
              </w:rPr>
              <w:t>其他直接营运成本</w:t>
            </w:r>
          </w:p>
        </w:tc>
        <w:tc>
          <w:tcPr>
            <w:tcW w:w="1470" w:type="dxa"/>
            <w:shd w:val="clear" w:color="auto" w:fill="auto"/>
            <w:vAlign w:val="center"/>
          </w:tcPr>
          <w:p>
            <w:pPr>
              <w:widowControl/>
              <w:jc w:val="right"/>
              <w:textAlignment w:val="center"/>
              <w:rPr>
                <w:rFonts w:hint="eastAsia" w:ascii="仿宋_GB2312" w:eastAsia="仿宋_GB2312"/>
                <w:b w:val="0"/>
                <w:bCs w:val="0"/>
                <w:kern w:val="0"/>
                <w:szCs w:val="21"/>
                <w:lang w:bidi="ar"/>
              </w:rPr>
            </w:pPr>
            <w:r>
              <w:rPr>
                <w:rFonts w:hint="eastAsia" w:ascii="仿宋_GB2312" w:eastAsia="仿宋_GB2312"/>
                <w:b w:val="0"/>
                <w:bCs w:val="0"/>
                <w:kern w:val="0"/>
                <w:szCs w:val="21"/>
                <w:lang w:bidi="ar"/>
              </w:rPr>
              <w:t xml:space="preserve">5,580.02 </w:t>
            </w:r>
          </w:p>
        </w:tc>
        <w:tc>
          <w:tcPr>
            <w:tcW w:w="1305" w:type="dxa"/>
            <w:shd w:val="clear" w:color="auto" w:fill="auto"/>
            <w:noWrap/>
            <w:vAlign w:val="center"/>
          </w:tcPr>
          <w:p>
            <w:pPr>
              <w:widowControl/>
              <w:jc w:val="right"/>
              <w:textAlignment w:val="center"/>
              <w:rPr>
                <w:rFonts w:hint="eastAsia" w:ascii="仿宋_GB2312" w:eastAsia="仿宋_GB2312"/>
                <w:b w:val="0"/>
                <w:bCs w:val="0"/>
                <w:kern w:val="0"/>
                <w:szCs w:val="21"/>
                <w:lang w:bidi="ar"/>
              </w:rPr>
            </w:pPr>
            <w:r>
              <w:rPr>
                <w:rFonts w:hint="eastAsia" w:ascii="仿宋_GB2312" w:eastAsia="仿宋_GB2312"/>
                <w:b w:val="0"/>
                <w:bCs w:val="0"/>
                <w:kern w:val="0"/>
                <w:szCs w:val="21"/>
                <w:lang w:bidi="ar"/>
              </w:rPr>
              <w:t>7,465.99</w:t>
            </w:r>
          </w:p>
        </w:tc>
        <w:tc>
          <w:tcPr>
            <w:tcW w:w="1470" w:type="dxa"/>
            <w:shd w:val="clear" w:color="auto" w:fill="auto"/>
            <w:noWrap/>
            <w:vAlign w:val="center"/>
          </w:tcPr>
          <w:p>
            <w:pPr>
              <w:keepNext w:val="0"/>
              <w:keepLines w:val="0"/>
              <w:widowControl/>
              <w:suppressLineNumbers w:val="0"/>
              <w:jc w:val="right"/>
              <w:textAlignment w:val="center"/>
              <w:rPr>
                <w:rFonts w:hint="eastAsia" w:ascii="仿宋_GB2312" w:eastAsia="仿宋_GB2312"/>
                <w:b w:val="0"/>
                <w:bCs w:val="0"/>
                <w:kern w:val="0"/>
                <w:szCs w:val="21"/>
                <w:lang w:bidi="ar"/>
              </w:rPr>
            </w:pPr>
            <w:r>
              <w:rPr>
                <w:rFonts w:hint="eastAsia" w:ascii="仿宋_GB2312" w:hAnsi="宋体" w:eastAsia="仿宋_GB2312" w:cs="仿宋_GB2312"/>
                <w:i w:val="0"/>
                <w:iCs w:val="0"/>
                <w:color w:val="000000"/>
                <w:kern w:val="0"/>
                <w:sz w:val="21"/>
                <w:szCs w:val="21"/>
                <w:u w:val="none"/>
                <w:lang w:val="en-US" w:eastAsia="zh-CN" w:bidi="ar"/>
              </w:rPr>
              <w:t xml:space="preserve"> -1,885.97  </w:t>
            </w:r>
          </w:p>
        </w:tc>
        <w:tc>
          <w:tcPr>
            <w:tcW w:w="1320" w:type="dxa"/>
            <w:vAlign w:val="center"/>
          </w:tcPr>
          <w:p>
            <w:pPr>
              <w:keepNext w:val="0"/>
              <w:keepLines w:val="0"/>
              <w:widowControl/>
              <w:suppressLineNumbers w:val="0"/>
              <w:jc w:val="right"/>
              <w:textAlignment w:val="center"/>
              <w:rPr>
                <w:rFonts w:hint="eastAsia" w:ascii="仿宋_GB2312" w:eastAsia="仿宋_GB2312"/>
                <w:b w:val="0"/>
                <w:bCs w:val="0"/>
                <w:kern w:val="0"/>
                <w:szCs w:val="21"/>
                <w:lang w:bidi="ar"/>
              </w:rPr>
            </w:pPr>
            <w:r>
              <w:rPr>
                <w:rFonts w:hint="eastAsia" w:ascii="仿宋_GB2312" w:hAnsi="宋体" w:eastAsia="仿宋_GB2312" w:cs="仿宋_GB2312"/>
                <w:i w:val="0"/>
                <w:iCs w:val="0"/>
                <w:color w:val="000000"/>
                <w:kern w:val="0"/>
                <w:sz w:val="21"/>
                <w:szCs w:val="21"/>
                <w:u w:val="none"/>
                <w:lang w:val="en-US" w:eastAsia="zh-CN" w:bidi="ar"/>
              </w:rPr>
              <w:t>-25.26%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restart"/>
            <w:vAlign w:val="center"/>
          </w:tcPr>
          <w:p>
            <w:pPr>
              <w:widowControl/>
              <w:jc w:val="center"/>
              <w:rPr>
                <w:rFonts w:hint="eastAsia" w:ascii="仿宋_GB2312" w:eastAsia="仿宋_GB2312"/>
                <w:szCs w:val="21"/>
              </w:rPr>
            </w:pPr>
            <w:r>
              <w:rPr>
                <w:rFonts w:hint="eastAsia" w:ascii="仿宋_GB2312" w:eastAsia="仿宋_GB2312"/>
                <w:szCs w:val="21"/>
              </w:rPr>
              <w:t>6</w:t>
            </w:r>
          </w:p>
        </w:tc>
        <w:tc>
          <w:tcPr>
            <w:tcW w:w="3163" w:type="dxa"/>
            <w:vAlign w:val="center"/>
          </w:tcPr>
          <w:p>
            <w:pPr>
              <w:widowControl/>
              <w:jc w:val="left"/>
              <w:rPr>
                <w:rFonts w:hint="eastAsia" w:ascii="仿宋_GB2312" w:eastAsia="仿宋_GB2312"/>
                <w:b/>
                <w:bCs/>
                <w:kern w:val="0"/>
                <w:szCs w:val="21"/>
              </w:rPr>
            </w:pPr>
            <w:r>
              <w:rPr>
                <w:rFonts w:hint="eastAsia" w:ascii="仿宋_GB2312" w:eastAsia="仿宋_GB2312"/>
                <w:kern w:val="0"/>
                <w:szCs w:val="21"/>
              </w:rPr>
              <w:t>期间费用</w:t>
            </w:r>
          </w:p>
        </w:tc>
        <w:tc>
          <w:tcPr>
            <w:tcW w:w="1470" w:type="dxa"/>
            <w:shd w:val="clear" w:color="auto" w:fill="auto"/>
            <w:vAlign w:val="center"/>
          </w:tcPr>
          <w:p>
            <w:pPr>
              <w:widowControl/>
              <w:jc w:val="right"/>
              <w:textAlignment w:val="center"/>
              <w:rPr>
                <w:rFonts w:hint="eastAsia" w:ascii="仿宋_GB2312" w:eastAsia="仿宋_GB2312"/>
                <w:b w:val="0"/>
                <w:bCs w:val="0"/>
                <w:kern w:val="0"/>
                <w:szCs w:val="21"/>
                <w:lang w:bidi="ar"/>
              </w:rPr>
            </w:pPr>
            <w:r>
              <w:rPr>
                <w:rFonts w:hint="eastAsia" w:ascii="仿宋_GB2312" w:eastAsia="仿宋_GB2312"/>
                <w:b w:val="0"/>
                <w:bCs w:val="0"/>
                <w:kern w:val="0"/>
                <w:szCs w:val="21"/>
                <w:lang w:bidi="ar"/>
              </w:rPr>
              <w:t xml:space="preserve"> 53,271.58 </w:t>
            </w:r>
          </w:p>
        </w:tc>
        <w:tc>
          <w:tcPr>
            <w:tcW w:w="1305" w:type="dxa"/>
            <w:shd w:val="clear" w:color="auto" w:fill="auto"/>
            <w:noWrap/>
            <w:vAlign w:val="center"/>
          </w:tcPr>
          <w:p>
            <w:pPr>
              <w:widowControl/>
              <w:jc w:val="right"/>
              <w:textAlignment w:val="center"/>
              <w:rPr>
                <w:rFonts w:hint="eastAsia" w:ascii="仿宋_GB2312" w:eastAsia="仿宋_GB2312"/>
                <w:b w:val="0"/>
                <w:bCs w:val="0"/>
                <w:kern w:val="0"/>
                <w:szCs w:val="21"/>
                <w:lang w:bidi="ar"/>
              </w:rPr>
            </w:pPr>
            <w:r>
              <w:rPr>
                <w:rFonts w:hint="eastAsia" w:ascii="仿宋_GB2312" w:eastAsia="仿宋_GB2312"/>
                <w:b w:val="0"/>
                <w:bCs w:val="0"/>
                <w:kern w:val="0"/>
                <w:szCs w:val="21"/>
                <w:lang w:bidi="ar"/>
              </w:rPr>
              <w:t>51,267.65</w:t>
            </w:r>
          </w:p>
        </w:tc>
        <w:tc>
          <w:tcPr>
            <w:tcW w:w="1470" w:type="dxa"/>
            <w:shd w:val="clear" w:color="auto" w:fill="auto"/>
            <w:noWrap/>
            <w:vAlign w:val="center"/>
          </w:tcPr>
          <w:p>
            <w:pPr>
              <w:keepNext w:val="0"/>
              <w:keepLines w:val="0"/>
              <w:widowControl/>
              <w:suppressLineNumbers w:val="0"/>
              <w:jc w:val="right"/>
              <w:textAlignment w:val="center"/>
              <w:rPr>
                <w:rFonts w:hint="eastAsia" w:ascii="仿宋_GB2312" w:eastAsia="仿宋_GB2312"/>
                <w:b w:val="0"/>
                <w:bCs w:val="0"/>
                <w:kern w:val="0"/>
                <w:szCs w:val="21"/>
                <w:lang w:bidi="ar"/>
              </w:rPr>
            </w:pPr>
            <w:r>
              <w:rPr>
                <w:rFonts w:hint="eastAsia" w:ascii="仿宋_GB2312" w:hAnsi="宋体" w:eastAsia="仿宋_GB2312" w:cs="仿宋_GB2312"/>
                <w:i w:val="0"/>
                <w:iCs w:val="0"/>
                <w:color w:val="000000"/>
                <w:kern w:val="0"/>
                <w:sz w:val="21"/>
                <w:szCs w:val="21"/>
                <w:u w:val="none"/>
                <w:lang w:val="en-US" w:eastAsia="zh-CN" w:bidi="ar"/>
              </w:rPr>
              <w:t xml:space="preserve"> 2,003.93 </w:t>
            </w:r>
          </w:p>
        </w:tc>
        <w:tc>
          <w:tcPr>
            <w:tcW w:w="1320" w:type="dxa"/>
            <w:vAlign w:val="center"/>
          </w:tcPr>
          <w:p>
            <w:pPr>
              <w:keepNext w:val="0"/>
              <w:keepLines w:val="0"/>
              <w:widowControl/>
              <w:suppressLineNumbers w:val="0"/>
              <w:jc w:val="right"/>
              <w:textAlignment w:val="center"/>
              <w:rPr>
                <w:rFonts w:hint="eastAsia" w:ascii="仿宋_GB2312" w:eastAsia="仿宋_GB2312"/>
                <w:b w:val="0"/>
                <w:bCs w:val="0"/>
                <w:kern w:val="0"/>
                <w:szCs w:val="21"/>
                <w:lang w:bidi="ar"/>
              </w:rPr>
            </w:pPr>
            <w:r>
              <w:rPr>
                <w:rFonts w:hint="eastAsia" w:ascii="仿宋_GB2312" w:hAnsi="宋体" w:eastAsia="仿宋_GB2312" w:cs="仿宋_GB2312"/>
                <w:i w:val="0"/>
                <w:iCs w:val="0"/>
                <w:color w:val="000000"/>
                <w:kern w:val="0"/>
                <w:sz w:val="21"/>
                <w:szCs w:val="21"/>
                <w:u w:val="none"/>
                <w:lang w:val="en-US" w:eastAsia="zh-CN" w:bidi="ar"/>
              </w:rPr>
              <w:t>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pPr>
              <w:widowControl/>
              <w:jc w:val="center"/>
              <w:rPr>
                <w:rFonts w:hint="eastAsia" w:ascii="仿宋_GB2312" w:eastAsia="仿宋_GB2312"/>
                <w:szCs w:val="21"/>
              </w:rPr>
            </w:pPr>
          </w:p>
        </w:tc>
        <w:tc>
          <w:tcPr>
            <w:tcW w:w="3163" w:type="dxa"/>
            <w:vAlign w:val="center"/>
          </w:tcPr>
          <w:p>
            <w:pPr>
              <w:widowControl/>
              <w:jc w:val="left"/>
              <w:rPr>
                <w:rFonts w:hint="eastAsia" w:ascii="仿宋_GB2312" w:eastAsia="仿宋_GB2312"/>
                <w:b/>
                <w:bCs/>
                <w:kern w:val="0"/>
                <w:szCs w:val="21"/>
              </w:rPr>
            </w:pPr>
            <w:r>
              <w:rPr>
                <w:rFonts w:hint="eastAsia" w:ascii="仿宋_GB2312" w:eastAsia="仿宋_GB2312"/>
                <w:kern w:val="0"/>
                <w:szCs w:val="21"/>
              </w:rPr>
              <w:t>其中：管理费用</w:t>
            </w:r>
          </w:p>
        </w:tc>
        <w:tc>
          <w:tcPr>
            <w:tcW w:w="1470" w:type="dxa"/>
            <w:shd w:val="clear" w:color="auto" w:fill="auto"/>
            <w:vAlign w:val="center"/>
          </w:tcPr>
          <w:p>
            <w:pPr>
              <w:widowControl/>
              <w:jc w:val="right"/>
              <w:textAlignment w:val="center"/>
              <w:rPr>
                <w:rFonts w:hint="eastAsia" w:ascii="仿宋_GB2312" w:eastAsia="仿宋_GB2312"/>
                <w:b w:val="0"/>
                <w:bCs w:val="0"/>
                <w:kern w:val="0"/>
                <w:szCs w:val="21"/>
                <w:lang w:bidi="ar"/>
              </w:rPr>
            </w:pPr>
            <w:r>
              <w:rPr>
                <w:rFonts w:hint="eastAsia" w:ascii="仿宋_GB2312" w:eastAsia="仿宋_GB2312"/>
                <w:b w:val="0"/>
                <w:bCs w:val="0"/>
                <w:kern w:val="0"/>
                <w:szCs w:val="21"/>
                <w:lang w:bidi="ar"/>
              </w:rPr>
              <w:t xml:space="preserve"> 27,153.43 </w:t>
            </w:r>
          </w:p>
        </w:tc>
        <w:tc>
          <w:tcPr>
            <w:tcW w:w="1305" w:type="dxa"/>
            <w:shd w:val="clear" w:color="auto" w:fill="auto"/>
            <w:noWrap/>
            <w:vAlign w:val="center"/>
          </w:tcPr>
          <w:p>
            <w:pPr>
              <w:widowControl/>
              <w:jc w:val="right"/>
              <w:textAlignment w:val="center"/>
              <w:rPr>
                <w:rFonts w:hint="eastAsia" w:ascii="仿宋_GB2312" w:eastAsia="仿宋_GB2312"/>
                <w:b w:val="0"/>
                <w:bCs w:val="0"/>
                <w:kern w:val="0"/>
                <w:szCs w:val="21"/>
                <w:lang w:bidi="ar"/>
              </w:rPr>
            </w:pPr>
            <w:r>
              <w:rPr>
                <w:rFonts w:hint="eastAsia" w:ascii="仿宋_GB2312" w:eastAsia="仿宋_GB2312"/>
                <w:b w:val="0"/>
                <w:bCs w:val="0"/>
                <w:kern w:val="0"/>
                <w:szCs w:val="21"/>
                <w:lang w:bidi="ar"/>
              </w:rPr>
              <w:t>27,233.42</w:t>
            </w:r>
          </w:p>
        </w:tc>
        <w:tc>
          <w:tcPr>
            <w:tcW w:w="1470" w:type="dxa"/>
            <w:shd w:val="clear" w:color="auto" w:fill="auto"/>
            <w:noWrap/>
            <w:vAlign w:val="center"/>
          </w:tcPr>
          <w:p>
            <w:pPr>
              <w:keepNext w:val="0"/>
              <w:keepLines w:val="0"/>
              <w:widowControl/>
              <w:suppressLineNumbers w:val="0"/>
              <w:jc w:val="right"/>
              <w:textAlignment w:val="center"/>
              <w:rPr>
                <w:rFonts w:hint="eastAsia" w:ascii="仿宋_GB2312" w:eastAsia="仿宋_GB2312"/>
                <w:b w:val="0"/>
                <w:bCs w:val="0"/>
                <w:kern w:val="0"/>
                <w:szCs w:val="21"/>
                <w:lang w:bidi="ar"/>
              </w:rPr>
            </w:pPr>
            <w:r>
              <w:rPr>
                <w:rFonts w:hint="eastAsia" w:ascii="仿宋_GB2312" w:hAnsi="宋体" w:eastAsia="仿宋_GB2312" w:cs="仿宋_GB2312"/>
                <w:i w:val="0"/>
                <w:iCs w:val="0"/>
                <w:color w:val="000000"/>
                <w:kern w:val="0"/>
                <w:sz w:val="21"/>
                <w:szCs w:val="21"/>
                <w:u w:val="none"/>
                <w:lang w:val="en-US" w:eastAsia="zh-CN" w:bidi="ar"/>
              </w:rPr>
              <w:t xml:space="preserve"> -79.99 </w:t>
            </w:r>
          </w:p>
        </w:tc>
        <w:tc>
          <w:tcPr>
            <w:tcW w:w="1320" w:type="dxa"/>
            <w:vAlign w:val="center"/>
          </w:tcPr>
          <w:p>
            <w:pPr>
              <w:keepNext w:val="0"/>
              <w:keepLines w:val="0"/>
              <w:widowControl/>
              <w:suppressLineNumbers w:val="0"/>
              <w:jc w:val="right"/>
              <w:textAlignment w:val="center"/>
              <w:rPr>
                <w:rFonts w:hint="eastAsia" w:ascii="仿宋_GB2312" w:eastAsia="仿宋_GB2312"/>
                <w:b w:val="0"/>
                <w:bCs w:val="0"/>
                <w:kern w:val="0"/>
                <w:szCs w:val="21"/>
                <w:lang w:bidi="ar"/>
              </w:rPr>
            </w:pPr>
            <w:r>
              <w:rPr>
                <w:rFonts w:hint="eastAsia" w:ascii="仿宋_GB2312" w:hAnsi="宋体" w:eastAsia="仿宋_GB2312" w:cs="仿宋_GB2312"/>
                <w:i w:val="0"/>
                <w:iCs w:val="0"/>
                <w:color w:val="000000"/>
                <w:kern w:val="0"/>
                <w:sz w:val="21"/>
                <w:szCs w:val="21"/>
                <w:u w:val="none"/>
                <w:lang w:val="en-US" w:eastAsia="zh-CN" w:bidi="ar"/>
              </w:rPr>
              <w:t>-0.29%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pPr>
              <w:widowControl/>
              <w:jc w:val="center"/>
              <w:rPr>
                <w:rFonts w:hint="eastAsia" w:ascii="仿宋_GB2312" w:eastAsia="仿宋_GB2312"/>
                <w:szCs w:val="21"/>
              </w:rPr>
            </w:pPr>
          </w:p>
        </w:tc>
        <w:tc>
          <w:tcPr>
            <w:tcW w:w="3163" w:type="dxa"/>
            <w:vAlign w:val="center"/>
          </w:tcPr>
          <w:p>
            <w:pPr>
              <w:widowControl/>
              <w:ind w:firstLine="630" w:firstLineChars="300"/>
              <w:jc w:val="left"/>
              <w:rPr>
                <w:rFonts w:hint="eastAsia" w:ascii="仿宋_GB2312" w:eastAsia="仿宋_GB2312"/>
                <w:b/>
                <w:bCs/>
                <w:kern w:val="0"/>
                <w:szCs w:val="21"/>
              </w:rPr>
            </w:pPr>
            <w:r>
              <w:rPr>
                <w:rFonts w:hint="eastAsia" w:ascii="仿宋_GB2312" w:eastAsia="仿宋_GB2312"/>
                <w:kern w:val="0"/>
                <w:szCs w:val="21"/>
              </w:rPr>
              <w:t>财务费用</w:t>
            </w:r>
          </w:p>
        </w:tc>
        <w:tc>
          <w:tcPr>
            <w:tcW w:w="1470" w:type="dxa"/>
            <w:shd w:val="clear" w:color="auto" w:fill="auto"/>
            <w:vAlign w:val="center"/>
          </w:tcPr>
          <w:p>
            <w:pPr>
              <w:widowControl/>
              <w:jc w:val="right"/>
              <w:textAlignment w:val="center"/>
              <w:rPr>
                <w:rFonts w:hint="eastAsia" w:ascii="仿宋_GB2312" w:eastAsia="仿宋_GB2312"/>
                <w:b w:val="0"/>
                <w:bCs w:val="0"/>
                <w:kern w:val="0"/>
                <w:szCs w:val="21"/>
                <w:lang w:bidi="ar"/>
              </w:rPr>
            </w:pPr>
            <w:r>
              <w:rPr>
                <w:rFonts w:hint="eastAsia" w:ascii="仿宋_GB2312" w:eastAsia="仿宋_GB2312"/>
                <w:b w:val="0"/>
                <w:bCs w:val="0"/>
                <w:kern w:val="0"/>
                <w:szCs w:val="21"/>
                <w:lang w:bidi="ar"/>
              </w:rPr>
              <w:t xml:space="preserve"> 26,118.15 </w:t>
            </w:r>
          </w:p>
        </w:tc>
        <w:tc>
          <w:tcPr>
            <w:tcW w:w="1305" w:type="dxa"/>
            <w:shd w:val="clear" w:color="auto" w:fill="auto"/>
            <w:noWrap/>
            <w:vAlign w:val="center"/>
          </w:tcPr>
          <w:p>
            <w:pPr>
              <w:widowControl/>
              <w:jc w:val="right"/>
              <w:textAlignment w:val="center"/>
              <w:rPr>
                <w:rFonts w:hint="eastAsia" w:ascii="仿宋_GB2312" w:eastAsia="仿宋_GB2312"/>
                <w:b w:val="0"/>
                <w:bCs w:val="0"/>
                <w:kern w:val="0"/>
                <w:szCs w:val="21"/>
                <w:lang w:bidi="ar"/>
              </w:rPr>
            </w:pPr>
            <w:r>
              <w:rPr>
                <w:rFonts w:hint="eastAsia" w:ascii="仿宋_GB2312" w:eastAsia="仿宋_GB2312"/>
                <w:b w:val="0"/>
                <w:bCs w:val="0"/>
                <w:kern w:val="0"/>
                <w:szCs w:val="21"/>
                <w:lang w:bidi="ar"/>
              </w:rPr>
              <w:t>24,034.23</w:t>
            </w:r>
          </w:p>
        </w:tc>
        <w:tc>
          <w:tcPr>
            <w:tcW w:w="1470" w:type="dxa"/>
            <w:shd w:val="clear" w:color="auto" w:fill="auto"/>
            <w:noWrap/>
            <w:vAlign w:val="center"/>
          </w:tcPr>
          <w:p>
            <w:pPr>
              <w:keepNext w:val="0"/>
              <w:keepLines w:val="0"/>
              <w:widowControl/>
              <w:suppressLineNumbers w:val="0"/>
              <w:jc w:val="right"/>
              <w:textAlignment w:val="center"/>
              <w:rPr>
                <w:rFonts w:hint="eastAsia" w:ascii="仿宋_GB2312" w:eastAsia="仿宋_GB2312"/>
                <w:b w:val="0"/>
                <w:bCs w:val="0"/>
                <w:kern w:val="0"/>
                <w:szCs w:val="21"/>
                <w:lang w:bidi="ar"/>
              </w:rPr>
            </w:pPr>
            <w:r>
              <w:rPr>
                <w:rFonts w:hint="eastAsia" w:ascii="仿宋_GB2312" w:hAnsi="宋体" w:eastAsia="仿宋_GB2312" w:cs="仿宋_GB2312"/>
                <w:i w:val="0"/>
                <w:iCs w:val="0"/>
                <w:color w:val="000000"/>
                <w:kern w:val="0"/>
                <w:sz w:val="21"/>
                <w:szCs w:val="21"/>
                <w:u w:val="none"/>
                <w:lang w:val="en-US" w:eastAsia="zh-CN" w:bidi="ar"/>
              </w:rPr>
              <w:t xml:space="preserve"> 2,083.92 </w:t>
            </w:r>
          </w:p>
        </w:tc>
        <w:tc>
          <w:tcPr>
            <w:tcW w:w="1320" w:type="dxa"/>
            <w:vAlign w:val="center"/>
          </w:tcPr>
          <w:p>
            <w:pPr>
              <w:keepNext w:val="0"/>
              <w:keepLines w:val="0"/>
              <w:widowControl/>
              <w:suppressLineNumbers w:val="0"/>
              <w:jc w:val="right"/>
              <w:textAlignment w:val="center"/>
              <w:rPr>
                <w:rFonts w:hint="eastAsia" w:ascii="仿宋_GB2312" w:eastAsia="仿宋_GB2312"/>
                <w:b w:val="0"/>
                <w:bCs w:val="0"/>
                <w:kern w:val="0"/>
                <w:szCs w:val="21"/>
                <w:lang w:bidi="ar"/>
              </w:rPr>
            </w:pPr>
            <w:r>
              <w:rPr>
                <w:rFonts w:hint="eastAsia" w:ascii="仿宋_GB2312" w:hAnsi="宋体" w:eastAsia="仿宋_GB2312" w:cs="仿宋_GB2312"/>
                <w:i w:val="0"/>
                <w:iCs w:val="0"/>
                <w:color w:val="000000"/>
                <w:kern w:val="0"/>
                <w:sz w:val="21"/>
                <w:szCs w:val="21"/>
                <w:u w:val="none"/>
                <w:lang w:val="en-US" w:eastAsia="zh-CN" w:bidi="ar"/>
              </w:rPr>
              <w:t>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Align w:val="center"/>
          </w:tcPr>
          <w:p>
            <w:pPr>
              <w:widowControl/>
              <w:jc w:val="center"/>
              <w:rPr>
                <w:rFonts w:hint="eastAsia" w:ascii="仿宋_GB2312" w:eastAsia="仿宋_GB2312"/>
                <w:szCs w:val="21"/>
              </w:rPr>
            </w:pPr>
            <w:r>
              <w:rPr>
                <w:rFonts w:hint="eastAsia" w:ascii="仿宋_GB2312" w:eastAsia="仿宋_GB2312"/>
                <w:szCs w:val="21"/>
              </w:rPr>
              <w:t>7</w:t>
            </w:r>
          </w:p>
        </w:tc>
        <w:tc>
          <w:tcPr>
            <w:tcW w:w="3163" w:type="dxa"/>
            <w:vAlign w:val="center"/>
          </w:tcPr>
          <w:p>
            <w:pPr>
              <w:widowControl/>
              <w:jc w:val="left"/>
              <w:rPr>
                <w:rFonts w:hint="eastAsia" w:ascii="仿宋_GB2312" w:eastAsia="仿宋_GB2312"/>
                <w:b/>
                <w:bCs/>
                <w:kern w:val="0"/>
                <w:szCs w:val="21"/>
              </w:rPr>
            </w:pPr>
            <w:r>
              <w:rPr>
                <w:rFonts w:hint="eastAsia" w:ascii="仿宋_GB2312" w:eastAsia="仿宋_GB2312"/>
                <w:kern w:val="0"/>
                <w:szCs w:val="21"/>
              </w:rPr>
              <w:t>其他业务支出</w:t>
            </w:r>
          </w:p>
        </w:tc>
        <w:tc>
          <w:tcPr>
            <w:tcW w:w="1470" w:type="dxa"/>
            <w:shd w:val="clear" w:color="auto" w:fill="auto"/>
            <w:vAlign w:val="center"/>
          </w:tcPr>
          <w:p>
            <w:pPr>
              <w:widowControl/>
              <w:jc w:val="right"/>
              <w:textAlignment w:val="center"/>
              <w:rPr>
                <w:rFonts w:hint="eastAsia" w:ascii="仿宋_GB2312" w:eastAsia="仿宋_GB2312"/>
                <w:b w:val="0"/>
                <w:bCs w:val="0"/>
                <w:kern w:val="0"/>
                <w:szCs w:val="21"/>
                <w:lang w:bidi="ar"/>
              </w:rPr>
            </w:pPr>
            <w:r>
              <w:rPr>
                <w:rFonts w:hint="eastAsia" w:ascii="仿宋_GB2312" w:eastAsia="仿宋_GB2312"/>
                <w:b w:val="0"/>
                <w:bCs w:val="0"/>
                <w:kern w:val="0"/>
                <w:szCs w:val="21"/>
                <w:lang w:bidi="ar"/>
              </w:rPr>
              <w:t xml:space="preserve"> 1,679.98 </w:t>
            </w:r>
          </w:p>
        </w:tc>
        <w:tc>
          <w:tcPr>
            <w:tcW w:w="1305" w:type="dxa"/>
            <w:shd w:val="clear" w:color="auto" w:fill="auto"/>
            <w:noWrap/>
            <w:vAlign w:val="center"/>
          </w:tcPr>
          <w:p>
            <w:pPr>
              <w:widowControl/>
              <w:jc w:val="right"/>
              <w:textAlignment w:val="center"/>
              <w:rPr>
                <w:rFonts w:hint="eastAsia" w:ascii="仿宋_GB2312" w:eastAsia="仿宋_GB2312"/>
                <w:b w:val="0"/>
                <w:bCs w:val="0"/>
                <w:kern w:val="0"/>
                <w:szCs w:val="21"/>
                <w:lang w:bidi="ar"/>
              </w:rPr>
            </w:pPr>
            <w:r>
              <w:rPr>
                <w:rFonts w:hint="eastAsia" w:ascii="仿宋_GB2312" w:eastAsia="仿宋_GB2312"/>
                <w:b w:val="0"/>
                <w:bCs w:val="0"/>
                <w:kern w:val="0"/>
                <w:szCs w:val="21"/>
                <w:lang w:bidi="ar"/>
              </w:rPr>
              <w:t>1,359.68</w:t>
            </w:r>
          </w:p>
        </w:tc>
        <w:tc>
          <w:tcPr>
            <w:tcW w:w="1470" w:type="dxa"/>
            <w:shd w:val="clear" w:color="auto" w:fill="auto"/>
            <w:noWrap/>
            <w:vAlign w:val="center"/>
          </w:tcPr>
          <w:p>
            <w:pPr>
              <w:keepNext w:val="0"/>
              <w:keepLines w:val="0"/>
              <w:widowControl/>
              <w:suppressLineNumbers w:val="0"/>
              <w:jc w:val="right"/>
              <w:textAlignment w:val="center"/>
              <w:rPr>
                <w:rFonts w:hint="eastAsia" w:ascii="仿宋_GB2312" w:eastAsia="仿宋_GB2312"/>
                <w:b w:val="0"/>
                <w:bCs w:val="0"/>
                <w:kern w:val="0"/>
                <w:szCs w:val="21"/>
                <w:lang w:bidi="ar"/>
              </w:rPr>
            </w:pPr>
            <w:r>
              <w:rPr>
                <w:rFonts w:hint="eastAsia" w:ascii="仿宋_GB2312" w:hAnsi="宋体" w:eastAsia="仿宋_GB2312" w:cs="仿宋_GB2312"/>
                <w:i w:val="0"/>
                <w:iCs w:val="0"/>
                <w:color w:val="000000"/>
                <w:kern w:val="0"/>
                <w:sz w:val="21"/>
                <w:szCs w:val="21"/>
                <w:u w:val="none"/>
                <w:lang w:val="en-US" w:eastAsia="zh-CN" w:bidi="ar"/>
              </w:rPr>
              <w:t xml:space="preserve">  320.30  </w:t>
            </w:r>
          </w:p>
        </w:tc>
        <w:tc>
          <w:tcPr>
            <w:tcW w:w="1320" w:type="dxa"/>
            <w:vAlign w:val="center"/>
          </w:tcPr>
          <w:p>
            <w:pPr>
              <w:keepNext w:val="0"/>
              <w:keepLines w:val="0"/>
              <w:widowControl/>
              <w:suppressLineNumbers w:val="0"/>
              <w:jc w:val="right"/>
              <w:textAlignment w:val="center"/>
              <w:rPr>
                <w:rFonts w:hint="eastAsia" w:ascii="仿宋_GB2312" w:eastAsia="仿宋_GB2312"/>
                <w:b w:val="0"/>
                <w:bCs w:val="0"/>
                <w:kern w:val="0"/>
                <w:szCs w:val="21"/>
                <w:lang w:bidi="ar"/>
              </w:rPr>
            </w:pPr>
            <w:r>
              <w:rPr>
                <w:rFonts w:hint="eastAsia" w:ascii="仿宋_GB2312" w:hAnsi="宋体" w:eastAsia="仿宋_GB2312" w:cs="仿宋_GB2312"/>
                <w:i w:val="0"/>
                <w:iCs w:val="0"/>
                <w:color w:val="000000"/>
                <w:kern w:val="0"/>
                <w:sz w:val="21"/>
                <w:szCs w:val="21"/>
                <w:u w:val="none"/>
                <w:lang w:val="en-US" w:eastAsia="zh-CN" w:bidi="ar"/>
              </w:rPr>
              <w:t>23.56%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Align w:val="center"/>
          </w:tcPr>
          <w:p>
            <w:pPr>
              <w:widowControl/>
              <w:jc w:val="center"/>
              <w:rPr>
                <w:rFonts w:hint="eastAsia" w:ascii="仿宋_GB2312" w:eastAsia="仿宋_GB2312"/>
                <w:szCs w:val="21"/>
              </w:rPr>
            </w:pPr>
            <w:r>
              <w:rPr>
                <w:rFonts w:hint="eastAsia" w:ascii="仿宋_GB2312" w:eastAsia="仿宋_GB2312"/>
                <w:szCs w:val="21"/>
              </w:rPr>
              <w:t>8</w:t>
            </w:r>
          </w:p>
        </w:tc>
        <w:tc>
          <w:tcPr>
            <w:tcW w:w="3163" w:type="dxa"/>
            <w:vAlign w:val="center"/>
          </w:tcPr>
          <w:p>
            <w:pPr>
              <w:widowControl/>
              <w:jc w:val="left"/>
              <w:rPr>
                <w:rFonts w:hint="eastAsia" w:ascii="仿宋_GB2312" w:eastAsia="仿宋_GB2312"/>
                <w:b/>
                <w:bCs/>
                <w:kern w:val="0"/>
                <w:szCs w:val="21"/>
              </w:rPr>
            </w:pPr>
            <w:r>
              <w:rPr>
                <w:rFonts w:hint="eastAsia" w:ascii="仿宋_GB2312" w:eastAsia="仿宋_GB2312"/>
                <w:b/>
                <w:bCs/>
                <w:kern w:val="0"/>
                <w:szCs w:val="21"/>
              </w:rPr>
              <w:t>营业总成本合计</w:t>
            </w:r>
          </w:p>
        </w:tc>
        <w:tc>
          <w:tcPr>
            <w:tcW w:w="1470" w:type="dxa"/>
            <w:shd w:val="clear" w:color="auto" w:fill="auto"/>
            <w:vAlign w:val="center"/>
          </w:tcPr>
          <w:p>
            <w:pPr>
              <w:widowControl/>
              <w:jc w:val="right"/>
              <w:textAlignment w:val="center"/>
              <w:rPr>
                <w:rFonts w:hint="eastAsia" w:ascii="仿宋_GB2312" w:eastAsia="仿宋_GB2312"/>
                <w:b/>
                <w:bCs/>
                <w:kern w:val="0"/>
                <w:szCs w:val="21"/>
                <w:lang w:bidi="ar"/>
              </w:rPr>
            </w:pPr>
            <w:r>
              <w:rPr>
                <w:rFonts w:hint="eastAsia" w:ascii="仿宋_GB2312" w:eastAsia="仿宋_GB2312"/>
                <w:b/>
                <w:bCs/>
                <w:kern w:val="0"/>
                <w:szCs w:val="21"/>
                <w:lang w:bidi="ar"/>
              </w:rPr>
              <w:t xml:space="preserve"> 359,223.57 </w:t>
            </w:r>
          </w:p>
        </w:tc>
        <w:tc>
          <w:tcPr>
            <w:tcW w:w="1305" w:type="dxa"/>
            <w:shd w:val="clear" w:color="auto" w:fill="auto"/>
            <w:noWrap/>
            <w:vAlign w:val="center"/>
          </w:tcPr>
          <w:p>
            <w:pPr>
              <w:widowControl/>
              <w:jc w:val="right"/>
              <w:textAlignment w:val="center"/>
              <w:rPr>
                <w:rFonts w:hint="eastAsia" w:ascii="仿宋_GB2312" w:eastAsia="仿宋_GB2312"/>
                <w:b/>
                <w:bCs/>
                <w:kern w:val="0"/>
                <w:szCs w:val="21"/>
                <w:lang w:eastAsia="zh-CN" w:bidi="ar"/>
              </w:rPr>
            </w:pPr>
            <w:r>
              <w:rPr>
                <w:rFonts w:hint="eastAsia" w:ascii="仿宋_GB2312" w:eastAsia="仿宋_GB2312"/>
                <w:b/>
                <w:bCs/>
                <w:kern w:val="0"/>
                <w:szCs w:val="21"/>
                <w:lang w:bidi="ar"/>
              </w:rPr>
              <w:t>372,760.1</w:t>
            </w:r>
            <w:r>
              <w:rPr>
                <w:rFonts w:hint="eastAsia" w:ascii="仿宋_GB2312" w:eastAsia="仿宋_GB2312"/>
                <w:b/>
                <w:bCs/>
                <w:kern w:val="0"/>
                <w:szCs w:val="21"/>
                <w:lang w:val="en-US" w:eastAsia="zh-CN" w:bidi="ar"/>
              </w:rPr>
              <w:t>9</w:t>
            </w:r>
          </w:p>
        </w:tc>
        <w:tc>
          <w:tcPr>
            <w:tcW w:w="1470" w:type="dxa"/>
            <w:shd w:val="clear" w:color="auto" w:fill="auto"/>
            <w:noWrap/>
            <w:vAlign w:val="center"/>
          </w:tcPr>
          <w:p>
            <w:pPr>
              <w:keepNext w:val="0"/>
              <w:keepLines w:val="0"/>
              <w:widowControl/>
              <w:suppressLineNumbers w:val="0"/>
              <w:jc w:val="right"/>
              <w:textAlignment w:val="center"/>
              <w:rPr>
                <w:rFonts w:hint="eastAsia" w:ascii="仿宋_GB2312" w:eastAsia="仿宋_GB2312"/>
                <w:b w:val="0"/>
                <w:bCs w:val="0"/>
                <w:kern w:val="0"/>
                <w:szCs w:val="21"/>
                <w:lang w:bidi="ar"/>
              </w:rPr>
            </w:pPr>
            <w:r>
              <w:rPr>
                <w:rFonts w:hint="eastAsia" w:ascii="仿宋_GB2312" w:hAnsi="宋体" w:eastAsia="仿宋_GB2312" w:cs="仿宋_GB2312"/>
                <w:b/>
                <w:bCs/>
                <w:i w:val="0"/>
                <w:iCs w:val="0"/>
                <w:color w:val="000000"/>
                <w:kern w:val="0"/>
                <w:sz w:val="21"/>
                <w:szCs w:val="21"/>
                <w:u w:val="none"/>
                <w:lang w:val="en-US" w:eastAsia="zh-CN" w:bidi="ar"/>
              </w:rPr>
              <w:t xml:space="preserve"> -13,536.62  </w:t>
            </w:r>
          </w:p>
        </w:tc>
        <w:tc>
          <w:tcPr>
            <w:tcW w:w="1320" w:type="dxa"/>
            <w:vAlign w:val="center"/>
          </w:tcPr>
          <w:p>
            <w:pPr>
              <w:keepNext w:val="0"/>
              <w:keepLines w:val="0"/>
              <w:widowControl/>
              <w:suppressLineNumbers w:val="0"/>
              <w:jc w:val="right"/>
              <w:textAlignment w:val="center"/>
              <w:rPr>
                <w:rFonts w:hint="eastAsia" w:ascii="仿宋_GB2312" w:eastAsia="仿宋_GB2312"/>
                <w:b w:val="0"/>
                <w:bCs w:val="0"/>
                <w:kern w:val="0"/>
                <w:szCs w:val="21"/>
                <w:lang w:bidi="ar"/>
              </w:rPr>
            </w:pPr>
            <w:r>
              <w:rPr>
                <w:rFonts w:hint="eastAsia" w:ascii="仿宋_GB2312" w:hAnsi="宋体" w:eastAsia="仿宋_GB2312" w:cs="仿宋_GB2312"/>
                <w:b/>
                <w:bCs/>
                <w:i w:val="0"/>
                <w:iCs w:val="0"/>
                <w:color w:val="000000"/>
                <w:kern w:val="0"/>
                <w:sz w:val="21"/>
                <w:szCs w:val="21"/>
                <w:u w:val="none"/>
                <w:lang w:val="en-US" w:eastAsia="zh-CN" w:bidi="ar"/>
              </w:rPr>
              <w:t>-3.63%</w:t>
            </w:r>
          </w:p>
        </w:tc>
      </w:tr>
    </w:tbl>
    <w:p>
      <w:pPr>
        <w:widowControl/>
        <w:spacing w:line="360" w:lineRule="auto"/>
        <w:ind w:left="210" w:leftChars="100" w:firstLine="468" w:firstLineChars="195"/>
        <w:rPr>
          <w:rFonts w:ascii="仿宋_GB2312" w:hAnsi="仿宋" w:eastAsia="仿宋_GB2312" w:cs="仿宋_GB2312"/>
          <w:sz w:val="24"/>
        </w:rPr>
      </w:pPr>
      <w:r>
        <w:rPr>
          <w:rFonts w:hint="eastAsia" w:ascii="仿宋_GB2312" w:hAnsi="仿宋" w:eastAsia="仿宋_GB2312" w:cs="仿宋_GB2312"/>
          <w:sz w:val="24"/>
        </w:rPr>
        <w:t>注：1</w:t>
      </w:r>
      <w:r>
        <w:rPr>
          <w:rFonts w:ascii="仿宋_GB2312" w:hAnsi="仿宋" w:eastAsia="仿宋_GB2312" w:cs="仿宋_GB2312"/>
          <w:sz w:val="24"/>
        </w:rPr>
        <w:t>.</w:t>
      </w:r>
      <w:r>
        <w:rPr>
          <w:rFonts w:hint="eastAsia" w:ascii="仿宋_GB2312" w:hAnsi="仿宋" w:eastAsia="仿宋_GB2312" w:cs="仿宋_GB2312"/>
          <w:sz w:val="24"/>
        </w:rPr>
        <w:t>营业总收入不包括营业外收入及财政补贴收入等项目。</w:t>
      </w:r>
    </w:p>
    <w:p>
      <w:pPr>
        <w:widowControl/>
        <w:spacing w:line="360" w:lineRule="auto"/>
        <w:ind w:left="210" w:leftChars="100" w:firstLine="468" w:firstLineChars="195"/>
        <w:rPr>
          <w:rFonts w:ascii="仿宋_GB2312" w:hAnsi="仿宋" w:eastAsia="仿宋_GB2312" w:cs="仿宋_GB2312"/>
          <w:sz w:val="24"/>
        </w:rPr>
      </w:pPr>
      <w:r>
        <w:rPr>
          <w:rFonts w:ascii="仿宋_GB2312" w:hAnsi="仿宋" w:eastAsia="仿宋_GB2312" w:cs="仿宋_GB2312"/>
          <w:sz w:val="24"/>
        </w:rPr>
        <w:t>2.</w:t>
      </w:r>
      <w:r>
        <w:rPr>
          <w:rFonts w:hint="eastAsia" w:ascii="仿宋_GB2312" w:hAnsi="仿宋" w:eastAsia="仿宋_GB2312" w:cs="仿宋_GB2312"/>
          <w:sz w:val="24"/>
        </w:rPr>
        <w:t>营业总成本不包括税金及附加、资产减值损失及营业外支出等项目。</w:t>
      </w:r>
    </w:p>
    <w:p>
      <w:pPr>
        <w:spacing w:line="360" w:lineRule="auto"/>
        <w:ind w:firstLine="643" w:firstLineChars="200"/>
        <w:rPr>
          <w:rFonts w:ascii="仿宋_GB2312" w:eastAsia="仿宋_GB2312"/>
          <w:sz w:val="32"/>
          <w:szCs w:val="32"/>
          <w:highlight w:val="none"/>
        </w:rPr>
      </w:pPr>
      <w:r>
        <w:rPr>
          <w:rFonts w:hint="eastAsia" w:ascii="仿宋_GB2312" w:hAnsi="仿宋" w:eastAsia="仿宋_GB2312" w:cs="仿宋_GB2312"/>
          <w:b/>
          <w:sz w:val="32"/>
          <w:szCs w:val="32"/>
          <w:highlight w:val="none"/>
        </w:rPr>
        <w:t>东山公交</w:t>
      </w:r>
      <w:r>
        <w:rPr>
          <w:rFonts w:hint="eastAsia" w:ascii="仿宋_GB2312" w:hAnsi="仿宋" w:eastAsia="仿宋_GB2312" w:cs="仿宋_GB2312"/>
          <w:sz w:val="32"/>
          <w:szCs w:val="32"/>
          <w:highlight w:val="none"/>
        </w:rPr>
        <w:t>主营业务收入比上年减少298.31万元，减幅为4.69%；其他业务收入比上年</w:t>
      </w:r>
      <w:r>
        <w:rPr>
          <w:rFonts w:hint="eastAsia" w:ascii="仿宋_GB2312" w:hAnsi="仿宋" w:eastAsia="仿宋_GB2312" w:cs="仿宋_GB2312"/>
          <w:sz w:val="32"/>
          <w:szCs w:val="32"/>
          <w:highlight w:val="none"/>
          <w:lang w:val="en-US" w:eastAsia="zh-CN"/>
        </w:rPr>
        <w:t>减少</w:t>
      </w:r>
      <w:r>
        <w:rPr>
          <w:rFonts w:hint="eastAsia" w:ascii="仿宋_GB2312" w:hAnsi="仿宋" w:eastAsia="仿宋_GB2312" w:cs="仿宋_GB2312"/>
          <w:sz w:val="32"/>
          <w:szCs w:val="32"/>
          <w:highlight w:val="none"/>
        </w:rPr>
        <w:t>5.35万元</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lang w:val="en-US" w:eastAsia="zh-CN"/>
        </w:rPr>
        <w:t>减</w:t>
      </w:r>
      <w:r>
        <w:rPr>
          <w:rFonts w:hint="eastAsia" w:ascii="仿宋_GB2312" w:hAnsi="仿宋" w:eastAsia="仿宋_GB2312" w:cs="仿宋_GB2312"/>
          <w:sz w:val="32"/>
          <w:szCs w:val="32"/>
          <w:highlight w:val="none"/>
        </w:rPr>
        <w:t>幅为</w:t>
      </w:r>
      <w:r>
        <w:rPr>
          <w:rFonts w:hint="eastAsia" w:ascii="仿宋_GB2312" w:hAnsi="仿宋" w:eastAsia="仿宋_GB2312" w:cs="仿宋_GB2312"/>
          <w:sz w:val="32"/>
          <w:szCs w:val="32"/>
          <w:highlight w:val="none"/>
          <w:lang w:val="en-US" w:eastAsia="zh-CN"/>
        </w:rPr>
        <w:t>1</w:t>
      </w:r>
      <w:r>
        <w:rPr>
          <w:rFonts w:hint="eastAsia" w:ascii="仿宋_GB2312" w:hAnsi="仿宋" w:eastAsia="仿宋_GB2312" w:cs="仿宋_GB2312"/>
          <w:sz w:val="32"/>
          <w:szCs w:val="32"/>
          <w:highlight w:val="none"/>
        </w:rPr>
        <w:t>.</w:t>
      </w:r>
      <w:r>
        <w:rPr>
          <w:rFonts w:hint="eastAsia" w:ascii="仿宋_GB2312" w:hAnsi="仿宋" w:eastAsia="仿宋_GB2312" w:cs="仿宋_GB2312"/>
          <w:sz w:val="32"/>
          <w:szCs w:val="32"/>
          <w:highlight w:val="none"/>
          <w:lang w:val="en-US" w:eastAsia="zh-CN"/>
        </w:rPr>
        <w:t>48</w:t>
      </w:r>
      <w:r>
        <w:rPr>
          <w:rFonts w:ascii="仿宋_GB2312" w:hAnsi="仿宋" w:eastAsia="仿宋_GB2312" w:cs="仿宋_GB2312"/>
          <w:sz w:val="32"/>
          <w:szCs w:val="32"/>
          <w:highlight w:val="none"/>
        </w:rPr>
        <w:t>%</w:t>
      </w:r>
      <w:r>
        <w:rPr>
          <w:rFonts w:hint="eastAsia" w:ascii="仿宋_GB2312" w:hAnsi="仿宋" w:eastAsia="仿宋_GB2312" w:cs="仿宋_GB2312"/>
          <w:sz w:val="32"/>
          <w:szCs w:val="32"/>
          <w:highlight w:val="none"/>
        </w:rPr>
        <w:t>；营业总收入比上年减少303.66万元，减幅为</w:t>
      </w:r>
      <w:r>
        <w:rPr>
          <w:rFonts w:hint="eastAsia" w:ascii="仿宋_GB2312" w:hAnsi="仿宋" w:eastAsia="仿宋_GB2312" w:cs="仿宋_GB2312"/>
          <w:sz w:val="32"/>
          <w:szCs w:val="32"/>
          <w:highlight w:val="none"/>
          <w:lang w:val="en-US" w:eastAsia="zh-CN"/>
        </w:rPr>
        <w:t>4</w:t>
      </w:r>
      <w:r>
        <w:rPr>
          <w:rFonts w:hint="eastAsia" w:ascii="仿宋_GB2312" w:hAnsi="仿宋" w:eastAsia="仿宋_GB2312" w:cs="仿宋_GB2312"/>
          <w:sz w:val="32"/>
          <w:szCs w:val="32"/>
          <w:highlight w:val="none"/>
        </w:rPr>
        <w:t>.</w:t>
      </w:r>
      <w:r>
        <w:rPr>
          <w:rFonts w:hint="eastAsia" w:ascii="仿宋_GB2312" w:hAnsi="仿宋" w:eastAsia="仿宋_GB2312" w:cs="仿宋_GB2312"/>
          <w:sz w:val="32"/>
          <w:szCs w:val="32"/>
          <w:highlight w:val="none"/>
          <w:lang w:val="en-US" w:eastAsia="zh-CN"/>
        </w:rPr>
        <w:t>52</w:t>
      </w:r>
      <w:r>
        <w:rPr>
          <w:rFonts w:ascii="仿宋_GB2312" w:hAnsi="仿宋" w:eastAsia="仿宋_GB2312" w:cs="仿宋_GB2312"/>
          <w:sz w:val="32"/>
          <w:szCs w:val="32"/>
          <w:highlight w:val="none"/>
        </w:rPr>
        <w:t>%</w:t>
      </w:r>
      <w:r>
        <w:rPr>
          <w:rFonts w:hint="eastAsia" w:ascii="仿宋_GB2312" w:hAnsi="仿宋" w:eastAsia="仿宋_GB2312" w:cs="仿宋_GB2312"/>
          <w:sz w:val="32"/>
          <w:szCs w:val="32"/>
          <w:highlight w:val="none"/>
        </w:rPr>
        <w:t>；主营业务成本比上年</w:t>
      </w:r>
      <w:r>
        <w:rPr>
          <w:rFonts w:hint="eastAsia" w:ascii="仿宋_GB2312" w:hAnsi="仿宋" w:eastAsia="仿宋_GB2312" w:cs="仿宋_GB2312"/>
          <w:sz w:val="32"/>
          <w:szCs w:val="32"/>
          <w:highlight w:val="none"/>
          <w:lang w:val="en-US" w:eastAsia="zh-CN"/>
        </w:rPr>
        <w:t>减少</w:t>
      </w:r>
      <w:r>
        <w:rPr>
          <w:rFonts w:hint="eastAsia" w:ascii="仿宋_GB2312" w:hAnsi="仿宋" w:eastAsia="仿宋_GB2312" w:cs="仿宋_GB2312"/>
          <w:sz w:val="32"/>
          <w:szCs w:val="32"/>
          <w:highlight w:val="none"/>
        </w:rPr>
        <w:t>1,949.24万元，</w:t>
      </w:r>
      <w:r>
        <w:rPr>
          <w:rFonts w:hint="eastAsia" w:ascii="仿宋_GB2312" w:hAnsi="仿宋" w:eastAsia="仿宋_GB2312" w:cs="仿宋_GB2312"/>
          <w:sz w:val="32"/>
          <w:szCs w:val="32"/>
          <w:highlight w:val="none"/>
          <w:lang w:val="en-US" w:eastAsia="zh-CN"/>
        </w:rPr>
        <w:t>减</w:t>
      </w:r>
      <w:r>
        <w:rPr>
          <w:rFonts w:hint="eastAsia" w:ascii="仿宋_GB2312" w:hAnsi="仿宋" w:eastAsia="仿宋_GB2312" w:cs="仿宋_GB2312"/>
          <w:sz w:val="32"/>
          <w:szCs w:val="32"/>
          <w:highlight w:val="none"/>
        </w:rPr>
        <w:t>幅为</w:t>
      </w:r>
      <w:r>
        <w:rPr>
          <w:rFonts w:hint="eastAsia" w:ascii="仿宋_GB2312" w:hAnsi="仿宋" w:eastAsia="仿宋_GB2312" w:cs="仿宋_GB2312"/>
          <w:sz w:val="32"/>
          <w:szCs w:val="32"/>
          <w:highlight w:val="none"/>
          <w:lang w:val="en-US" w:eastAsia="zh-CN"/>
        </w:rPr>
        <w:t>2</w:t>
      </w:r>
      <w:r>
        <w:rPr>
          <w:rFonts w:ascii="仿宋_GB2312" w:hAnsi="仿宋" w:eastAsia="仿宋_GB2312" w:cs="仿宋_GB2312"/>
          <w:sz w:val="32"/>
          <w:szCs w:val="32"/>
          <w:highlight w:val="none"/>
        </w:rPr>
        <w:t>.</w:t>
      </w:r>
      <w:r>
        <w:rPr>
          <w:rFonts w:hint="eastAsia" w:ascii="仿宋_GB2312" w:hAnsi="仿宋" w:eastAsia="仿宋_GB2312" w:cs="仿宋_GB2312"/>
          <w:sz w:val="32"/>
          <w:szCs w:val="32"/>
          <w:highlight w:val="none"/>
          <w:lang w:val="en-US" w:eastAsia="zh-CN"/>
        </w:rPr>
        <w:t>83</w:t>
      </w:r>
      <w:r>
        <w:rPr>
          <w:rFonts w:ascii="仿宋_GB2312" w:hAnsi="仿宋" w:eastAsia="仿宋_GB2312" w:cs="仿宋_GB2312"/>
          <w:sz w:val="32"/>
          <w:szCs w:val="32"/>
          <w:highlight w:val="none"/>
        </w:rPr>
        <w:t>%</w:t>
      </w:r>
      <w:r>
        <w:rPr>
          <w:rFonts w:hint="eastAsia" w:ascii="仿宋_GB2312" w:hAnsi="仿宋" w:eastAsia="仿宋_GB2312" w:cs="仿宋_GB2312"/>
          <w:sz w:val="32"/>
          <w:szCs w:val="32"/>
          <w:highlight w:val="none"/>
        </w:rPr>
        <w:t>；期间费用比上年增加287.61万元，增幅为3.5</w:t>
      </w:r>
      <w:r>
        <w:rPr>
          <w:rFonts w:hint="eastAsia" w:ascii="仿宋_GB2312" w:hAnsi="仿宋" w:eastAsia="仿宋_GB2312" w:cs="仿宋_GB2312"/>
          <w:sz w:val="32"/>
          <w:szCs w:val="32"/>
          <w:highlight w:val="none"/>
          <w:lang w:val="en-US" w:eastAsia="zh-CN"/>
        </w:rPr>
        <w:t>9</w:t>
      </w:r>
      <w:r>
        <w:rPr>
          <w:rFonts w:ascii="仿宋_GB2312" w:hAnsi="仿宋" w:eastAsia="仿宋_GB2312" w:cs="仿宋_GB2312"/>
          <w:sz w:val="32"/>
          <w:szCs w:val="32"/>
          <w:highlight w:val="none"/>
        </w:rPr>
        <w:t>%</w:t>
      </w:r>
      <w:r>
        <w:rPr>
          <w:rFonts w:hint="eastAsia" w:ascii="仿宋_GB2312" w:hAnsi="仿宋" w:eastAsia="仿宋_GB2312" w:cs="仿宋_GB2312"/>
          <w:sz w:val="32"/>
          <w:szCs w:val="32"/>
          <w:highlight w:val="none"/>
        </w:rPr>
        <w:t>；营业总成本比上年</w:t>
      </w:r>
      <w:r>
        <w:rPr>
          <w:rFonts w:hint="eastAsia" w:ascii="仿宋_GB2312" w:hAnsi="仿宋" w:eastAsia="仿宋_GB2312" w:cs="仿宋_GB2312"/>
          <w:sz w:val="32"/>
          <w:szCs w:val="32"/>
          <w:highlight w:val="none"/>
          <w:lang w:val="en-US" w:eastAsia="zh-CN"/>
        </w:rPr>
        <w:t>减少</w:t>
      </w:r>
      <w:r>
        <w:rPr>
          <w:rFonts w:hint="eastAsia" w:ascii="仿宋_GB2312" w:hAnsi="仿宋" w:eastAsia="仿宋_GB2312" w:cs="仿宋_GB2312"/>
          <w:sz w:val="32"/>
          <w:szCs w:val="32"/>
          <w:highlight w:val="none"/>
        </w:rPr>
        <w:t>1,661.63万元，</w:t>
      </w:r>
      <w:r>
        <w:rPr>
          <w:rFonts w:hint="eastAsia" w:ascii="仿宋_GB2312" w:hAnsi="仿宋" w:eastAsia="仿宋_GB2312" w:cs="仿宋_GB2312"/>
          <w:sz w:val="32"/>
          <w:szCs w:val="32"/>
          <w:highlight w:val="none"/>
          <w:lang w:val="en-US" w:eastAsia="zh-CN"/>
        </w:rPr>
        <w:t>减</w:t>
      </w:r>
      <w:r>
        <w:rPr>
          <w:rFonts w:hint="eastAsia" w:ascii="仿宋_GB2312" w:hAnsi="仿宋" w:eastAsia="仿宋_GB2312" w:cs="仿宋_GB2312"/>
          <w:sz w:val="32"/>
          <w:szCs w:val="32"/>
          <w:highlight w:val="none"/>
        </w:rPr>
        <w:t>幅为</w:t>
      </w:r>
      <w:r>
        <w:rPr>
          <w:rFonts w:hint="eastAsia" w:ascii="仿宋_GB2312" w:hAnsi="仿宋" w:eastAsia="仿宋_GB2312" w:cs="仿宋_GB2312"/>
          <w:sz w:val="32"/>
          <w:szCs w:val="32"/>
          <w:highlight w:val="none"/>
          <w:lang w:val="en-US" w:eastAsia="zh-CN"/>
        </w:rPr>
        <w:t>2</w:t>
      </w:r>
      <w:r>
        <w:rPr>
          <w:rFonts w:ascii="仿宋_GB2312" w:hAnsi="仿宋" w:eastAsia="仿宋_GB2312" w:cs="仿宋_GB2312"/>
          <w:sz w:val="32"/>
          <w:szCs w:val="32"/>
          <w:highlight w:val="none"/>
        </w:rPr>
        <w:t>.</w:t>
      </w:r>
      <w:r>
        <w:rPr>
          <w:rFonts w:hint="eastAsia" w:ascii="仿宋_GB2312" w:hAnsi="仿宋" w:eastAsia="仿宋_GB2312" w:cs="仿宋_GB2312"/>
          <w:sz w:val="32"/>
          <w:szCs w:val="32"/>
          <w:highlight w:val="none"/>
          <w:lang w:val="en-US" w:eastAsia="zh-CN"/>
        </w:rPr>
        <w:t>16</w:t>
      </w:r>
      <w:r>
        <w:rPr>
          <w:rFonts w:ascii="仿宋_GB2312" w:hAnsi="仿宋" w:eastAsia="仿宋_GB2312" w:cs="仿宋_GB2312"/>
          <w:sz w:val="32"/>
          <w:szCs w:val="32"/>
          <w:highlight w:val="none"/>
        </w:rPr>
        <w:t>%</w:t>
      </w:r>
      <w:r>
        <w:rPr>
          <w:rFonts w:hint="eastAsia" w:ascii="仿宋_GB2312" w:hAnsi="仿宋" w:eastAsia="仿宋_GB2312" w:cs="仿宋_GB2312"/>
          <w:sz w:val="32"/>
          <w:szCs w:val="32"/>
          <w:highlight w:val="none"/>
        </w:rPr>
        <w:t>。详细情况见下表三</w:t>
      </w:r>
      <w:r>
        <w:rPr>
          <w:rFonts w:hint="eastAsia" w:ascii="仿宋_GB2312" w:eastAsia="仿宋_GB2312"/>
          <w:sz w:val="32"/>
          <w:szCs w:val="32"/>
          <w:highlight w:val="none"/>
        </w:rPr>
        <w:t>。</w:t>
      </w:r>
    </w:p>
    <w:p>
      <w:pPr>
        <w:spacing w:line="360" w:lineRule="auto"/>
        <w:jc w:val="center"/>
        <w:rPr>
          <w:rFonts w:ascii="仿宋_GB2312" w:hAnsi="仿宋" w:eastAsia="仿宋_GB2312"/>
          <w:b/>
          <w:bCs/>
          <w:sz w:val="28"/>
          <w:szCs w:val="28"/>
        </w:rPr>
      </w:pPr>
      <w:r>
        <w:rPr>
          <w:rFonts w:hint="eastAsia" w:ascii="仿宋_GB2312" w:hAnsi="仿宋" w:eastAsia="仿宋_GB2312"/>
          <w:b/>
          <w:bCs/>
          <w:sz w:val="28"/>
          <w:szCs w:val="28"/>
        </w:rPr>
        <w:t>表三：202</w:t>
      </w:r>
      <w:r>
        <w:rPr>
          <w:rFonts w:hint="eastAsia" w:ascii="仿宋_GB2312" w:hAnsi="仿宋" w:eastAsia="仿宋_GB2312"/>
          <w:b/>
          <w:bCs/>
          <w:sz w:val="28"/>
          <w:szCs w:val="28"/>
          <w:lang w:val="en-US" w:eastAsia="zh-CN"/>
        </w:rPr>
        <w:t>4</w:t>
      </w:r>
      <w:r>
        <w:rPr>
          <w:rFonts w:hint="eastAsia" w:ascii="仿宋_GB2312" w:hAnsi="仿宋" w:eastAsia="仿宋_GB2312"/>
          <w:b/>
          <w:bCs/>
          <w:sz w:val="28"/>
          <w:szCs w:val="28"/>
        </w:rPr>
        <w:t>年东山公交营业收入及成本支出情况表</w:t>
      </w:r>
    </w:p>
    <w:p>
      <w:pPr>
        <w:ind w:firstLine="470" w:firstLineChars="196"/>
        <w:jc w:val="right"/>
        <w:rPr>
          <w:rFonts w:ascii="仿宋_GB2312" w:eastAsia="仿宋_GB2312" w:hAnsiTheme="minorEastAsia"/>
          <w:kern w:val="0"/>
          <w:sz w:val="24"/>
        </w:rPr>
      </w:pPr>
      <w:r>
        <w:rPr>
          <w:rFonts w:hint="eastAsia" w:ascii="仿宋_GB2312" w:eastAsia="仿宋_GB2312" w:hAnsiTheme="minorEastAsia"/>
          <w:kern w:val="0"/>
          <w:sz w:val="24"/>
        </w:rPr>
        <w:t>金额单位：万元</w:t>
      </w:r>
    </w:p>
    <w:tbl>
      <w:tblPr>
        <w:tblStyle w:val="9"/>
        <w:tblW w:w="8809" w:type="dxa"/>
        <w:jc w:val="center"/>
        <w:tblLayout w:type="autofit"/>
        <w:tblCellMar>
          <w:top w:w="0" w:type="dxa"/>
          <w:left w:w="108" w:type="dxa"/>
          <w:bottom w:w="0" w:type="dxa"/>
          <w:right w:w="108" w:type="dxa"/>
        </w:tblCellMar>
      </w:tblPr>
      <w:tblGrid>
        <w:gridCol w:w="654"/>
        <w:gridCol w:w="2426"/>
        <w:gridCol w:w="1476"/>
        <w:gridCol w:w="1418"/>
        <w:gridCol w:w="1417"/>
        <w:gridCol w:w="1418"/>
      </w:tblGrid>
      <w:tr>
        <w:tblPrEx>
          <w:tblCellMar>
            <w:top w:w="0" w:type="dxa"/>
            <w:left w:w="108" w:type="dxa"/>
            <w:bottom w:w="0" w:type="dxa"/>
            <w:right w:w="108" w:type="dxa"/>
          </w:tblCellMar>
        </w:tblPrEx>
        <w:trPr>
          <w:trHeight w:val="397" w:hRule="atLeast"/>
          <w:tblHeader/>
          <w:jc w:val="center"/>
        </w:trPr>
        <w:tc>
          <w:tcPr>
            <w:tcW w:w="6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Cs w:val="21"/>
              </w:rPr>
            </w:pPr>
            <w:r>
              <w:rPr>
                <w:rFonts w:hint="eastAsia" w:ascii="仿宋_GB2312" w:eastAsia="仿宋_GB2312"/>
                <w:b/>
                <w:bCs/>
                <w:szCs w:val="21"/>
              </w:rPr>
              <w:t>序号</w:t>
            </w:r>
          </w:p>
        </w:tc>
        <w:tc>
          <w:tcPr>
            <w:tcW w:w="24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Cs w:val="21"/>
              </w:rPr>
            </w:pPr>
            <w:r>
              <w:rPr>
                <w:rFonts w:hint="eastAsia" w:ascii="仿宋_GB2312" w:eastAsia="仿宋_GB2312"/>
                <w:b/>
                <w:bCs/>
                <w:szCs w:val="21"/>
              </w:rPr>
              <w:t>项目</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eastAsia="仿宋_GB2312"/>
                <w:b/>
                <w:bCs/>
                <w:szCs w:val="21"/>
              </w:rPr>
              <w:t>202</w:t>
            </w:r>
            <w:r>
              <w:rPr>
                <w:rFonts w:hint="eastAsia" w:ascii="仿宋_GB2312" w:eastAsia="仿宋_GB2312"/>
                <w:b/>
                <w:bCs/>
                <w:szCs w:val="21"/>
                <w:lang w:val="en-US" w:eastAsia="zh-CN"/>
              </w:rPr>
              <w:t>4</w:t>
            </w:r>
            <w:r>
              <w:rPr>
                <w:rFonts w:hint="eastAsia" w:ascii="仿宋_GB2312" w:eastAsia="仿宋_GB2312"/>
                <w:b/>
                <w:bCs/>
                <w:szCs w:val="21"/>
              </w:rPr>
              <w:t>年</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Cs w:val="21"/>
              </w:rPr>
            </w:pPr>
            <w:r>
              <w:rPr>
                <w:rFonts w:hint="eastAsia" w:ascii="仿宋_GB2312" w:eastAsia="仿宋_GB2312"/>
                <w:b/>
                <w:bCs/>
                <w:szCs w:val="21"/>
              </w:rPr>
              <w:t>202</w:t>
            </w:r>
            <w:r>
              <w:rPr>
                <w:rFonts w:hint="eastAsia" w:ascii="仿宋_GB2312" w:eastAsia="仿宋_GB2312"/>
                <w:b/>
                <w:bCs/>
                <w:szCs w:val="21"/>
                <w:lang w:val="en-US" w:eastAsia="zh-CN"/>
              </w:rPr>
              <w:t>3</w:t>
            </w:r>
            <w:r>
              <w:rPr>
                <w:rFonts w:hint="eastAsia" w:ascii="仿宋_GB2312" w:eastAsia="仿宋_GB2312"/>
                <w:b/>
                <w:bCs/>
                <w:szCs w:val="21"/>
              </w:rPr>
              <w:t>年</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Cs w:val="21"/>
              </w:rPr>
            </w:pPr>
            <w:r>
              <w:rPr>
                <w:rFonts w:hint="eastAsia" w:ascii="仿宋_GB2312" w:eastAsia="仿宋_GB2312"/>
                <w:b/>
                <w:bCs/>
                <w:szCs w:val="21"/>
              </w:rPr>
              <w:t>增减金额</w:t>
            </w:r>
          </w:p>
        </w:tc>
        <w:tc>
          <w:tcPr>
            <w:tcW w:w="1418"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Cs w:val="21"/>
              </w:rPr>
            </w:pPr>
            <w:r>
              <w:rPr>
                <w:rFonts w:hint="eastAsia" w:ascii="仿宋_GB2312" w:eastAsia="仿宋_GB2312"/>
                <w:b/>
                <w:bCs/>
                <w:szCs w:val="21"/>
              </w:rPr>
              <w:t>增减幅度</w:t>
            </w:r>
          </w:p>
        </w:tc>
      </w:tr>
      <w:tr>
        <w:tblPrEx>
          <w:tblCellMar>
            <w:top w:w="0" w:type="dxa"/>
            <w:left w:w="108" w:type="dxa"/>
            <w:bottom w:w="0" w:type="dxa"/>
            <w:right w:w="108" w:type="dxa"/>
          </w:tblCellMar>
        </w:tblPrEx>
        <w:trPr>
          <w:trHeight w:val="397" w:hRule="atLeast"/>
          <w:jc w:val="center"/>
        </w:trPr>
        <w:tc>
          <w:tcPr>
            <w:tcW w:w="654" w:type="dxa"/>
            <w:vMerge w:val="restart"/>
            <w:tcBorders>
              <w:top w:val="single" w:color="auto" w:sz="4" w:space="0"/>
              <w:left w:val="single" w:color="auto" w:sz="4" w:space="0"/>
              <w:right w:val="single" w:color="auto" w:sz="4" w:space="0"/>
            </w:tcBorders>
            <w:vAlign w:val="center"/>
          </w:tcPr>
          <w:p>
            <w:pPr>
              <w:widowControl/>
              <w:jc w:val="center"/>
              <w:rPr>
                <w:rFonts w:ascii="仿宋_GB2312" w:eastAsia="仿宋_GB2312"/>
                <w:b/>
                <w:bCs/>
                <w:szCs w:val="21"/>
              </w:rPr>
            </w:pPr>
            <w:r>
              <w:rPr>
                <w:rFonts w:hint="eastAsia" w:ascii="仿宋_GB2312" w:eastAsia="仿宋_GB2312"/>
                <w:szCs w:val="21"/>
              </w:rPr>
              <w:t>1</w:t>
            </w:r>
          </w:p>
        </w:tc>
        <w:tc>
          <w:tcPr>
            <w:tcW w:w="242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bCs/>
                <w:szCs w:val="21"/>
              </w:rPr>
            </w:pPr>
            <w:r>
              <w:rPr>
                <w:rFonts w:hint="eastAsia" w:ascii="仿宋_GB2312" w:eastAsia="仿宋_GB2312"/>
                <w:kern w:val="0"/>
                <w:szCs w:val="21"/>
              </w:rPr>
              <w:t>主营业务收入</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6,058.73 </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6,357.04 </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-298.31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仿宋_GB2312" w:eastAsia="仿宋_GB2312"/>
                <w:b w:val="0"/>
                <w:bCs w:val="0"/>
                <w:szCs w:val="21"/>
                <w:lang w:val="en-US" w:eastAsia="zh-CN"/>
              </w:rPr>
            </w:pPr>
            <w:r>
              <w:rPr>
                <w:rFonts w:hint="eastAsia" w:ascii="仿宋_GB2312" w:eastAsia="仿宋_GB2312"/>
                <w:b w:val="0"/>
                <w:bCs w:val="0"/>
                <w:szCs w:val="21"/>
                <w:lang w:val="en-US" w:eastAsia="zh-CN"/>
              </w:rPr>
              <w:t>-4.69%</w:t>
            </w:r>
          </w:p>
        </w:tc>
      </w:tr>
      <w:tr>
        <w:tblPrEx>
          <w:tblCellMar>
            <w:top w:w="0" w:type="dxa"/>
            <w:left w:w="108" w:type="dxa"/>
            <w:bottom w:w="0" w:type="dxa"/>
            <w:right w:w="108" w:type="dxa"/>
          </w:tblCellMar>
        </w:tblPrEx>
        <w:trPr>
          <w:trHeight w:val="397" w:hRule="atLeast"/>
          <w:jc w:val="center"/>
        </w:trPr>
        <w:tc>
          <w:tcPr>
            <w:tcW w:w="654" w:type="dxa"/>
            <w:vMerge w:val="continue"/>
            <w:tcBorders>
              <w:left w:val="single" w:color="auto" w:sz="4" w:space="0"/>
              <w:right w:val="single" w:color="auto" w:sz="4" w:space="0"/>
            </w:tcBorders>
            <w:vAlign w:val="center"/>
          </w:tcPr>
          <w:p>
            <w:pPr>
              <w:widowControl/>
              <w:jc w:val="center"/>
              <w:rPr>
                <w:rFonts w:ascii="仿宋_GB2312" w:eastAsia="仿宋_GB2312"/>
                <w:b/>
                <w:bCs/>
                <w:szCs w:val="21"/>
              </w:rPr>
            </w:pPr>
          </w:p>
        </w:tc>
        <w:tc>
          <w:tcPr>
            <w:tcW w:w="242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bCs/>
                <w:szCs w:val="21"/>
              </w:rPr>
            </w:pPr>
            <w:r>
              <w:rPr>
                <w:rFonts w:hint="eastAsia" w:ascii="仿宋_GB2312" w:eastAsia="仿宋_GB2312"/>
                <w:kern w:val="0"/>
                <w:szCs w:val="21"/>
              </w:rPr>
              <w:t>其中：投币收入</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450.57 </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525.18 </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-74.61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仿宋_GB2312" w:eastAsia="仿宋_GB2312"/>
                <w:b w:val="0"/>
                <w:bCs w:val="0"/>
                <w:szCs w:val="21"/>
                <w:lang w:val="en-US" w:eastAsia="zh-CN"/>
              </w:rPr>
            </w:pPr>
            <w:r>
              <w:rPr>
                <w:rFonts w:hint="eastAsia" w:ascii="仿宋_GB2312" w:eastAsia="仿宋_GB2312"/>
                <w:b w:val="0"/>
                <w:bCs w:val="0"/>
                <w:szCs w:val="21"/>
                <w:lang w:val="en-US" w:eastAsia="zh-CN"/>
              </w:rPr>
              <w:t>-14.21%</w:t>
            </w:r>
          </w:p>
        </w:tc>
      </w:tr>
      <w:tr>
        <w:tblPrEx>
          <w:tblCellMar>
            <w:top w:w="0" w:type="dxa"/>
            <w:left w:w="108" w:type="dxa"/>
            <w:bottom w:w="0" w:type="dxa"/>
            <w:right w:w="108" w:type="dxa"/>
          </w:tblCellMar>
        </w:tblPrEx>
        <w:trPr>
          <w:trHeight w:val="397" w:hRule="atLeast"/>
          <w:jc w:val="center"/>
        </w:trPr>
        <w:tc>
          <w:tcPr>
            <w:tcW w:w="654" w:type="dxa"/>
            <w:vMerge w:val="continue"/>
            <w:tcBorders>
              <w:left w:val="single" w:color="auto" w:sz="4" w:space="0"/>
              <w:right w:val="single" w:color="auto" w:sz="4" w:space="0"/>
            </w:tcBorders>
            <w:vAlign w:val="center"/>
          </w:tcPr>
          <w:p>
            <w:pPr>
              <w:widowControl/>
              <w:jc w:val="center"/>
              <w:rPr>
                <w:rFonts w:ascii="仿宋_GB2312" w:eastAsia="仿宋_GB2312"/>
                <w:b/>
                <w:bCs/>
                <w:szCs w:val="21"/>
              </w:rPr>
            </w:pPr>
          </w:p>
        </w:tc>
        <w:tc>
          <w:tcPr>
            <w:tcW w:w="2426" w:type="dxa"/>
            <w:tcBorders>
              <w:top w:val="single" w:color="auto" w:sz="4" w:space="0"/>
              <w:left w:val="single" w:color="auto" w:sz="4" w:space="0"/>
              <w:bottom w:val="single" w:color="auto" w:sz="4" w:space="0"/>
              <w:right w:val="single" w:color="auto" w:sz="4" w:space="0"/>
            </w:tcBorders>
            <w:vAlign w:val="center"/>
          </w:tcPr>
          <w:p>
            <w:pPr>
              <w:widowControl/>
              <w:ind w:firstLine="630" w:firstLineChars="300"/>
              <w:jc w:val="left"/>
              <w:rPr>
                <w:rFonts w:ascii="仿宋_GB2312" w:eastAsia="仿宋_GB2312"/>
                <w:b/>
                <w:bCs/>
                <w:szCs w:val="21"/>
              </w:rPr>
            </w:pPr>
            <w:r>
              <w:rPr>
                <w:rFonts w:hint="eastAsia" w:ascii="仿宋_GB2312" w:eastAsia="仿宋_GB2312"/>
                <w:kern w:val="0"/>
                <w:szCs w:val="21"/>
              </w:rPr>
              <w:t>IC卡收入</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3,060.37 </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3,104.75 </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-44.38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仿宋_GB2312" w:eastAsia="仿宋_GB2312"/>
                <w:b w:val="0"/>
                <w:bCs w:val="0"/>
                <w:szCs w:val="21"/>
                <w:lang w:val="en-US" w:eastAsia="zh-CN"/>
              </w:rPr>
            </w:pPr>
            <w:r>
              <w:rPr>
                <w:rFonts w:hint="eastAsia" w:ascii="仿宋_GB2312" w:eastAsia="仿宋_GB2312"/>
                <w:b w:val="0"/>
                <w:bCs w:val="0"/>
                <w:szCs w:val="21"/>
                <w:lang w:val="en-US" w:eastAsia="zh-CN"/>
              </w:rPr>
              <w:t>-1.43%</w:t>
            </w:r>
          </w:p>
        </w:tc>
      </w:tr>
      <w:tr>
        <w:tblPrEx>
          <w:tblCellMar>
            <w:top w:w="0" w:type="dxa"/>
            <w:left w:w="108" w:type="dxa"/>
            <w:bottom w:w="0" w:type="dxa"/>
            <w:right w:w="108" w:type="dxa"/>
          </w:tblCellMar>
        </w:tblPrEx>
        <w:trPr>
          <w:trHeight w:val="397" w:hRule="atLeast"/>
          <w:jc w:val="center"/>
        </w:trPr>
        <w:tc>
          <w:tcPr>
            <w:tcW w:w="654" w:type="dxa"/>
            <w:vMerge w:val="continue"/>
            <w:tcBorders>
              <w:left w:val="single" w:color="auto" w:sz="4" w:space="0"/>
              <w:right w:val="single" w:color="auto" w:sz="4" w:space="0"/>
            </w:tcBorders>
            <w:vAlign w:val="center"/>
          </w:tcPr>
          <w:p>
            <w:pPr>
              <w:widowControl/>
              <w:jc w:val="center"/>
              <w:rPr>
                <w:rFonts w:ascii="仿宋_GB2312" w:eastAsia="仿宋_GB2312"/>
                <w:b/>
                <w:bCs/>
                <w:szCs w:val="21"/>
              </w:rPr>
            </w:pPr>
          </w:p>
        </w:tc>
        <w:tc>
          <w:tcPr>
            <w:tcW w:w="2426" w:type="dxa"/>
            <w:tcBorders>
              <w:top w:val="single" w:color="auto" w:sz="4" w:space="0"/>
              <w:left w:val="single" w:color="auto" w:sz="4" w:space="0"/>
              <w:bottom w:val="single" w:color="auto" w:sz="4" w:space="0"/>
              <w:right w:val="single" w:color="auto" w:sz="4" w:space="0"/>
            </w:tcBorders>
            <w:vAlign w:val="center"/>
          </w:tcPr>
          <w:p>
            <w:pPr>
              <w:widowControl/>
              <w:ind w:firstLine="630" w:firstLineChars="300"/>
              <w:jc w:val="left"/>
              <w:rPr>
                <w:rFonts w:ascii="仿宋_GB2312" w:eastAsia="仿宋_GB2312"/>
                <w:b/>
                <w:bCs/>
                <w:szCs w:val="21"/>
              </w:rPr>
            </w:pPr>
            <w:r>
              <w:rPr>
                <w:rFonts w:hint="eastAsia" w:ascii="仿宋_GB2312" w:eastAsia="仿宋_GB2312"/>
                <w:kern w:val="0"/>
                <w:szCs w:val="21"/>
              </w:rPr>
              <w:t>扫码付等收入</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2,043.11 </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2,340.49 </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-297.38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仿宋_GB2312" w:eastAsia="仿宋_GB2312"/>
                <w:b w:val="0"/>
                <w:bCs w:val="0"/>
                <w:szCs w:val="21"/>
                <w:lang w:val="en-US" w:eastAsia="zh-CN"/>
              </w:rPr>
            </w:pPr>
            <w:r>
              <w:rPr>
                <w:rFonts w:hint="eastAsia" w:ascii="仿宋_GB2312" w:eastAsia="仿宋_GB2312"/>
                <w:b w:val="0"/>
                <w:bCs w:val="0"/>
                <w:szCs w:val="21"/>
                <w:lang w:val="en-US" w:eastAsia="zh-CN"/>
              </w:rPr>
              <w:t>-12.71%</w:t>
            </w:r>
          </w:p>
        </w:tc>
      </w:tr>
      <w:tr>
        <w:tblPrEx>
          <w:tblCellMar>
            <w:top w:w="0" w:type="dxa"/>
            <w:left w:w="108" w:type="dxa"/>
            <w:bottom w:w="0" w:type="dxa"/>
            <w:right w:w="108" w:type="dxa"/>
          </w:tblCellMar>
        </w:tblPrEx>
        <w:trPr>
          <w:trHeight w:val="397" w:hRule="atLeast"/>
          <w:jc w:val="center"/>
        </w:trPr>
        <w:tc>
          <w:tcPr>
            <w:tcW w:w="654" w:type="dxa"/>
            <w:vMerge w:val="continue"/>
            <w:tcBorders>
              <w:left w:val="single" w:color="auto" w:sz="4" w:space="0"/>
              <w:bottom w:val="single" w:color="auto" w:sz="4" w:space="0"/>
              <w:right w:val="single" w:color="auto" w:sz="4" w:space="0"/>
            </w:tcBorders>
            <w:vAlign w:val="center"/>
          </w:tcPr>
          <w:p>
            <w:pPr>
              <w:widowControl/>
              <w:jc w:val="center"/>
              <w:rPr>
                <w:rFonts w:ascii="仿宋_GB2312" w:eastAsia="仿宋_GB2312"/>
                <w:b/>
                <w:bCs/>
                <w:szCs w:val="21"/>
              </w:rPr>
            </w:pPr>
          </w:p>
        </w:tc>
        <w:tc>
          <w:tcPr>
            <w:tcW w:w="2426" w:type="dxa"/>
            <w:tcBorders>
              <w:top w:val="single" w:color="auto" w:sz="4" w:space="0"/>
              <w:left w:val="single" w:color="auto" w:sz="4" w:space="0"/>
              <w:bottom w:val="single" w:color="auto" w:sz="4" w:space="0"/>
              <w:right w:val="single" w:color="auto" w:sz="4" w:space="0"/>
            </w:tcBorders>
            <w:vAlign w:val="center"/>
          </w:tcPr>
          <w:p>
            <w:pPr>
              <w:widowControl/>
              <w:ind w:right="-103" w:rightChars="-49" w:firstLine="630" w:firstLineChars="300"/>
              <w:jc w:val="left"/>
              <w:rPr>
                <w:rFonts w:ascii="仿宋_GB2312" w:eastAsia="仿宋_GB2312"/>
                <w:b/>
                <w:bCs/>
                <w:szCs w:val="21"/>
              </w:rPr>
            </w:pPr>
            <w:r>
              <w:rPr>
                <w:rFonts w:hint="eastAsia" w:ascii="仿宋_GB2312" w:eastAsia="仿宋_GB2312"/>
                <w:kern w:val="0"/>
                <w:szCs w:val="21"/>
              </w:rPr>
              <w:t>包车收入</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504.68 </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386.62 </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118.06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仿宋_GB2312" w:eastAsia="仿宋_GB2312"/>
                <w:b w:val="0"/>
                <w:bCs w:val="0"/>
                <w:szCs w:val="21"/>
                <w:lang w:val="en-US" w:eastAsia="zh-CN"/>
              </w:rPr>
            </w:pPr>
            <w:r>
              <w:rPr>
                <w:rFonts w:hint="eastAsia" w:ascii="仿宋_GB2312" w:eastAsia="仿宋_GB2312"/>
                <w:b w:val="0"/>
                <w:bCs w:val="0"/>
                <w:szCs w:val="21"/>
                <w:lang w:val="en-US" w:eastAsia="zh-CN"/>
              </w:rPr>
              <w:t>30.54%</w:t>
            </w:r>
          </w:p>
        </w:tc>
      </w:tr>
      <w:tr>
        <w:tblPrEx>
          <w:tblCellMar>
            <w:top w:w="0" w:type="dxa"/>
            <w:left w:w="108" w:type="dxa"/>
            <w:bottom w:w="0" w:type="dxa"/>
            <w:right w:w="108" w:type="dxa"/>
          </w:tblCellMar>
        </w:tblPrEx>
        <w:trPr>
          <w:trHeight w:val="397"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bCs/>
                <w:szCs w:val="21"/>
              </w:rPr>
            </w:pPr>
            <w:r>
              <w:rPr>
                <w:rFonts w:hint="eastAsia" w:ascii="仿宋_GB2312" w:eastAsia="仿宋_GB2312"/>
                <w:szCs w:val="21"/>
              </w:rPr>
              <w:t>2</w:t>
            </w:r>
          </w:p>
        </w:tc>
        <w:tc>
          <w:tcPr>
            <w:tcW w:w="242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bCs/>
                <w:szCs w:val="21"/>
              </w:rPr>
            </w:pPr>
            <w:r>
              <w:rPr>
                <w:rFonts w:hint="eastAsia" w:ascii="仿宋_GB2312" w:eastAsia="仿宋_GB2312"/>
                <w:kern w:val="0"/>
                <w:szCs w:val="21"/>
              </w:rPr>
              <w:t>其他业务收入</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357.16 </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362.51 </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-5.35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仿宋_GB2312" w:eastAsia="仿宋_GB2312"/>
                <w:b w:val="0"/>
                <w:bCs w:val="0"/>
                <w:szCs w:val="21"/>
                <w:lang w:val="en-US" w:eastAsia="zh-CN"/>
              </w:rPr>
            </w:pPr>
            <w:r>
              <w:rPr>
                <w:rFonts w:hint="eastAsia" w:ascii="仿宋_GB2312" w:eastAsia="仿宋_GB2312"/>
                <w:b w:val="0"/>
                <w:bCs w:val="0"/>
                <w:szCs w:val="21"/>
                <w:lang w:val="en-US" w:eastAsia="zh-CN"/>
              </w:rPr>
              <w:t>-1.48%</w:t>
            </w:r>
          </w:p>
        </w:tc>
      </w:tr>
      <w:tr>
        <w:tblPrEx>
          <w:tblCellMar>
            <w:top w:w="0" w:type="dxa"/>
            <w:left w:w="108" w:type="dxa"/>
            <w:bottom w:w="0" w:type="dxa"/>
            <w:right w:w="108" w:type="dxa"/>
          </w:tblCellMar>
        </w:tblPrEx>
        <w:trPr>
          <w:trHeight w:val="397"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zCs w:val="21"/>
              </w:rPr>
            </w:pPr>
            <w:r>
              <w:rPr>
                <w:rFonts w:ascii="仿宋_GB2312" w:eastAsia="仿宋_GB2312"/>
                <w:szCs w:val="21"/>
              </w:rPr>
              <w:t>3</w:t>
            </w:r>
          </w:p>
        </w:tc>
        <w:tc>
          <w:tcPr>
            <w:tcW w:w="242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bCs/>
                <w:szCs w:val="21"/>
              </w:rPr>
            </w:pPr>
            <w:r>
              <w:rPr>
                <w:rFonts w:hint="eastAsia" w:ascii="仿宋_GB2312" w:eastAsia="仿宋_GB2312"/>
                <w:b/>
                <w:bCs/>
                <w:kern w:val="0"/>
                <w:szCs w:val="21"/>
              </w:rPr>
              <w:t>营业总收入合计</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ascii="仿宋_GB2312" w:eastAsia="仿宋_GB2312"/>
                <w:b/>
                <w:bCs/>
                <w:szCs w:val="21"/>
              </w:rPr>
            </w:pPr>
            <w:r>
              <w:rPr>
                <w:rFonts w:hint="eastAsia" w:ascii="仿宋_GB2312" w:eastAsia="仿宋_GB2312"/>
                <w:b/>
                <w:bCs/>
                <w:szCs w:val="21"/>
                <w:lang w:val="en-US" w:eastAsia="zh-CN"/>
              </w:rPr>
              <w:t xml:space="preserve"> 6,415.89 </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bCs/>
                <w:szCs w:val="21"/>
              </w:rPr>
            </w:pPr>
            <w:r>
              <w:rPr>
                <w:rFonts w:hint="eastAsia" w:ascii="仿宋_GB2312" w:eastAsia="仿宋_GB2312"/>
                <w:b/>
                <w:bCs/>
                <w:szCs w:val="21"/>
                <w:lang w:val="en-US" w:eastAsia="zh-CN"/>
              </w:rPr>
              <w:t xml:space="preserve"> 6,719.55 </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bCs/>
                <w:szCs w:val="21"/>
              </w:rPr>
            </w:pPr>
            <w:r>
              <w:rPr>
                <w:rFonts w:hint="eastAsia" w:ascii="仿宋_GB2312" w:eastAsia="仿宋_GB2312"/>
                <w:b/>
                <w:bCs/>
                <w:szCs w:val="21"/>
                <w:lang w:val="en-US" w:eastAsia="zh-CN"/>
              </w:rPr>
              <w:t xml:space="preserve"> -303.66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仿宋_GB2312" w:eastAsia="仿宋_GB2312"/>
                <w:b/>
                <w:bCs/>
                <w:szCs w:val="21"/>
                <w:lang w:val="en-US" w:eastAsia="zh-CN"/>
              </w:rPr>
            </w:pPr>
            <w:r>
              <w:rPr>
                <w:rFonts w:hint="eastAsia" w:ascii="仿宋_GB2312" w:eastAsia="仿宋_GB2312"/>
                <w:b/>
                <w:bCs/>
                <w:szCs w:val="21"/>
                <w:lang w:val="en-US" w:eastAsia="zh-CN"/>
              </w:rPr>
              <w:t>-4.52%</w:t>
            </w:r>
          </w:p>
        </w:tc>
      </w:tr>
      <w:tr>
        <w:tblPrEx>
          <w:tblCellMar>
            <w:top w:w="0" w:type="dxa"/>
            <w:left w:w="108" w:type="dxa"/>
            <w:bottom w:w="0" w:type="dxa"/>
            <w:right w:w="108" w:type="dxa"/>
          </w:tblCellMar>
        </w:tblPrEx>
        <w:trPr>
          <w:trHeight w:val="397" w:hRule="atLeast"/>
          <w:jc w:val="center"/>
        </w:trPr>
        <w:tc>
          <w:tcPr>
            <w:tcW w:w="654" w:type="dxa"/>
            <w:vMerge w:val="restart"/>
            <w:tcBorders>
              <w:top w:val="single" w:color="auto" w:sz="4" w:space="0"/>
              <w:left w:val="single" w:color="auto" w:sz="4" w:space="0"/>
              <w:right w:val="single" w:color="auto" w:sz="4" w:space="0"/>
            </w:tcBorders>
            <w:vAlign w:val="center"/>
          </w:tcPr>
          <w:p>
            <w:pPr>
              <w:widowControl/>
              <w:jc w:val="center"/>
              <w:rPr>
                <w:rFonts w:ascii="仿宋_GB2312" w:eastAsia="仿宋_GB2312"/>
                <w:szCs w:val="21"/>
              </w:rPr>
            </w:pPr>
            <w:r>
              <w:rPr>
                <w:rFonts w:ascii="仿宋_GB2312" w:eastAsia="仿宋_GB2312"/>
                <w:szCs w:val="21"/>
              </w:rPr>
              <w:t>4</w:t>
            </w:r>
          </w:p>
        </w:tc>
        <w:tc>
          <w:tcPr>
            <w:tcW w:w="242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bCs/>
                <w:kern w:val="0"/>
                <w:szCs w:val="21"/>
              </w:rPr>
            </w:pPr>
            <w:r>
              <w:rPr>
                <w:rFonts w:hint="eastAsia" w:ascii="仿宋_GB2312" w:eastAsia="仿宋_GB2312"/>
                <w:kern w:val="0"/>
                <w:szCs w:val="21"/>
              </w:rPr>
              <w:t>主营业务成本</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66,926.51 </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68,875.75 </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-1,949.24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仿宋_GB2312" w:eastAsia="仿宋_GB2312"/>
                <w:b w:val="0"/>
                <w:bCs w:val="0"/>
                <w:szCs w:val="21"/>
                <w:lang w:val="en-US" w:eastAsia="zh-CN"/>
              </w:rPr>
            </w:pPr>
            <w:r>
              <w:rPr>
                <w:rFonts w:hint="eastAsia" w:ascii="仿宋_GB2312" w:eastAsia="仿宋_GB2312"/>
                <w:b w:val="0"/>
                <w:bCs w:val="0"/>
                <w:szCs w:val="21"/>
                <w:lang w:val="en-US" w:eastAsia="zh-CN"/>
              </w:rPr>
              <w:t>-2.83%</w:t>
            </w:r>
          </w:p>
        </w:tc>
      </w:tr>
      <w:tr>
        <w:tblPrEx>
          <w:tblCellMar>
            <w:top w:w="0" w:type="dxa"/>
            <w:left w:w="108" w:type="dxa"/>
            <w:bottom w:w="0" w:type="dxa"/>
            <w:right w:w="108" w:type="dxa"/>
          </w:tblCellMar>
        </w:tblPrEx>
        <w:trPr>
          <w:trHeight w:val="397" w:hRule="atLeast"/>
          <w:jc w:val="center"/>
        </w:trPr>
        <w:tc>
          <w:tcPr>
            <w:tcW w:w="654" w:type="dxa"/>
            <w:vMerge w:val="continue"/>
            <w:tcBorders>
              <w:left w:val="single" w:color="auto" w:sz="4" w:space="0"/>
              <w:right w:val="single" w:color="auto" w:sz="4" w:space="0"/>
            </w:tcBorders>
            <w:vAlign w:val="center"/>
          </w:tcPr>
          <w:p>
            <w:pPr>
              <w:widowControl/>
              <w:jc w:val="center"/>
              <w:rPr>
                <w:rFonts w:ascii="仿宋_GB2312" w:eastAsia="仿宋_GB2312"/>
                <w:szCs w:val="21"/>
              </w:rPr>
            </w:pPr>
          </w:p>
        </w:tc>
        <w:tc>
          <w:tcPr>
            <w:tcW w:w="242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bCs/>
                <w:kern w:val="0"/>
                <w:szCs w:val="21"/>
              </w:rPr>
            </w:pPr>
            <w:r>
              <w:rPr>
                <w:rFonts w:hint="eastAsia" w:ascii="仿宋_GB2312" w:eastAsia="仿宋_GB2312"/>
                <w:kern w:val="0"/>
                <w:szCs w:val="21"/>
              </w:rPr>
              <w:t>其中：职工工资及福利费</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38,409.67 </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38,480.87 </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-71.20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仿宋_GB2312" w:eastAsia="仿宋_GB2312"/>
                <w:b w:val="0"/>
                <w:bCs w:val="0"/>
                <w:szCs w:val="21"/>
                <w:lang w:val="en-US" w:eastAsia="zh-CN"/>
              </w:rPr>
            </w:pPr>
            <w:r>
              <w:rPr>
                <w:rFonts w:hint="eastAsia" w:ascii="仿宋_GB2312" w:eastAsia="仿宋_GB2312"/>
                <w:b w:val="0"/>
                <w:bCs w:val="0"/>
                <w:szCs w:val="21"/>
                <w:lang w:val="en-US" w:eastAsia="zh-CN"/>
              </w:rPr>
              <w:t>-0.19%</w:t>
            </w:r>
          </w:p>
        </w:tc>
      </w:tr>
      <w:tr>
        <w:tblPrEx>
          <w:tblCellMar>
            <w:top w:w="0" w:type="dxa"/>
            <w:left w:w="108" w:type="dxa"/>
            <w:bottom w:w="0" w:type="dxa"/>
            <w:right w:w="108" w:type="dxa"/>
          </w:tblCellMar>
        </w:tblPrEx>
        <w:trPr>
          <w:trHeight w:val="397" w:hRule="atLeast"/>
          <w:jc w:val="center"/>
        </w:trPr>
        <w:tc>
          <w:tcPr>
            <w:tcW w:w="654" w:type="dxa"/>
            <w:vMerge w:val="continue"/>
            <w:tcBorders>
              <w:left w:val="single" w:color="auto" w:sz="4" w:space="0"/>
              <w:right w:val="single" w:color="auto" w:sz="4" w:space="0"/>
            </w:tcBorders>
            <w:vAlign w:val="center"/>
          </w:tcPr>
          <w:p>
            <w:pPr>
              <w:widowControl/>
              <w:jc w:val="center"/>
              <w:rPr>
                <w:rFonts w:ascii="仿宋_GB2312" w:eastAsia="仿宋_GB2312"/>
                <w:szCs w:val="21"/>
              </w:rPr>
            </w:pPr>
          </w:p>
        </w:tc>
        <w:tc>
          <w:tcPr>
            <w:tcW w:w="2426" w:type="dxa"/>
            <w:tcBorders>
              <w:top w:val="single" w:color="auto" w:sz="4" w:space="0"/>
              <w:left w:val="single" w:color="auto" w:sz="4" w:space="0"/>
              <w:bottom w:val="single" w:color="auto" w:sz="4" w:space="0"/>
              <w:right w:val="single" w:color="auto" w:sz="4" w:space="0"/>
            </w:tcBorders>
            <w:vAlign w:val="center"/>
          </w:tcPr>
          <w:p>
            <w:pPr>
              <w:widowControl/>
              <w:ind w:firstLine="630" w:firstLineChars="300"/>
              <w:jc w:val="left"/>
              <w:rPr>
                <w:rFonts w:ascii="仿宋_GB2312" w:eastAsia="仿宋_GB2312"/>
                <w:b/>
                <w:bCs/>
                <w:kern w:val="0"/>
                <w:szCs w:val="21"/>
              </w:rPr>
            </w:pPr>
            <w:r>
              <w:rPr>
                <w:rFonts w:hint="eastAsia" w:ascii="仿宋_GB2312" w:eastAsia="仿宋_GB2312"/>
                <w:kern w:val="0"/>
                <w:szCs w:val="21"/>
              </w:rPr>
              <w:t>燃料</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11,311.97 </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11,723.98 </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-412.01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仿宋_GB2312" w:eastAsia="仿宋_GB2312"/>
                <w:b w:val="0"/>
                <w:bCs w:val="0"/>
                <w:szCs w:val="21"/>
                <w:lang w:val="en-US" w:eastAsia="zh-CN"/>
              </w:rPr>
            </w:pPr>
            <w:r>
              <w:rPr>
                <w:rFonts w:hint="eastAsia" w:ascii="仿宋_GB2312" w:eastAsia="仿宋_GB2312"/>
                <w:b w:val="0"/>
                <w:bCs w:val="0"/>
                <w:szCs w:val="21"/>
                <w:lang w:val="en-US" w:eastAsia="zh-CN"/>
              </w:rPr>
              <w:t>-3.51%</w:t>
            </w:r>
          </w:p>
        </w:tc>
      </w:tr>
      <w:tr>
        <w:tblPrEx>
          <w:tblCellMar>
            <w:top w:w="0" w:type="dxa"/>
            <w:left w:w="108" w:type="dxa"/>
            <w:bottom w:w="0" w:type="dxa"/>
            <w:right w:w="108" w:type="dxa"/>
          </w:tblCellMar>
        </w:tblPrEx>
        <w:trPr>
          <w:trHeight w:val="397" w:hRule="atLeast"/>
          <w:jc w:val="center"/>
        </w:trPr>
        <w:tc>
          <w:tcPr>
            <w:tcW w:w="654" w:type="dxa"/>
            <w:vMerge w:val="continue"/>
            <w:tcBorders>
              <w:left w:val="single" w:color="auto" w:sz="4" w:space="0"/>
              <w:right w:val="single" w:color="auto" w:sz="4" w:space="0"/>
            </w:tcBorders>
            <w:vAlign w:val="center"/>
          </w:tcPr>
          <w:p>
            <w:pPr>
              <w:widowControl/>
              <w:jc w:val="center"/>
              <w:rPr>
                <w:rFonts w:ascii="仿宋_GB2312" w:eastAsia="仿宋_GB2312"/>
                <w:szCs w:val="21"/>
              </w:rPr>
            </w:pPr>
          </w:p>
        </w:tc>
        <w:tc>
          <w:tcPr>
            <w:tcW w:w="2426" w:type="dxa"/>
            <w:tcBorders>
              <w:top w:val="single" w:color="auto" w:sz="4" w:space="0"/>
              <w:left w:val="single" w:color="auto" w:sz="4" w:space="0"/>
              <w:bottom w:val="single" w:color="auto" w:sz="4" w:space="0"/>
              <w:right w:val="single" w:color="auto" w:sz="4" w:space="0"/>
            </w:tcBorders>
            <w:vAlign w:val="center"/>
          </w:tcPr>
          <w:p>
            <w:pPr>
              <w:widowControl/>
              <w:ind w:firstLine="630" w:firstLineChars="300"/>
              <w:jc w:val="left"/>
              <w:rPr>
                <w:rFonts w:ascii="仿宋_GB2312" w:eastAsia="仿宋_GB2312"/>
                <w:b/>
                <w:bCs/>
                <w:kern w:val="0"/>
                <w:szCs w:val="21"/>
              </w:rPr>
            </w:pPr>
            <w:r>
              <w:rPr>
                <w:rFonts w:hint="eastAsia" w:ascii="仿宋_GB2312" w:eastAsia="仿宋_GB2312"/>
                <w:kern w:val="0"/>
                <w:szCs w:val="21"/>
              </w:rPr>
              <w:t>轮胎</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378.76 </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388.08 </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-9.32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仿宋_GB2312" w:eastAsia="仿宋_GB2312"/>
                <w:b w:val="0"/>
                <w:bCs w:val="0"/>
                <w:szCs w:val="21"/>
                <w:lang w:val="en-US" w:eastAsia="zh-CN"/>
              </w:rPr>
            </w:pPr>
            <w:r>
              <w:rPr>
                <w:rFonts w:hint="eastAsia" w:ascii="仿宋_GB2312" w:eastAsia="仿宋_GB2312"/>
                <w:b w:val="0"/>
                <w:bCs w:val="0"/>
                <w:szCs w:val="21"/>
                <w:lang w:val="en-US" w:eastAsia="zh-CN"/>
              </w:rPr>
              <w:t>-2.40%</w:t>
            </w:r>
          </w:p>
        </w:tc>
      </w:tr>
      <w:tr>
        <w:tblPrEx>
          <w:tblCellMar>
            <w:top w:w="0" w:type="dxa"/>
            <w:left w:w="108" w:type="dxa"/>
            <w:bottom w:w="0" w:type="dxa"/>
            <w:right w:w="108" w:type="dxa"/>
          </w:tblCellMar>
        </w:tblPrEx>
        <w:trPr>
          <w:trHeight w:val="397" w:hRule="atLeast"/>
          <w:jc w:val="center"/>
        </w:trPr>
        <w:tc>
          <w:tcPr>
            <w:tcW w:w="654" w:type="dxa"/>
            <w:vMerge w:val="continue"/>
            <w:tcBorders>
              <w:left w:val="single" w:color="auto" w:sz="4" w:space="0"/>
              <w:right w:val="single" w:color="auto" w:sz="4" w:space="0"/>
            </w:tcBorders>
            <w:vAlign w:val="center"/>
          </w:tcPr>
          <w:p>
            <w:pPr>
              <w:widowControl/>
              <w:jc w:val="center"/>
              <w:rPr>
                <w:rFonts w:ascii="仿宋_GB2312" w:eastAsia="仿宋_GB2312"/>
                <w:szCs w:val="21"/>
              </w:rPr>
            </w:pPr>
          </w:p>
        </w:tc>
        <w:tc>
          <w:tcPr>
            <w:tcW w:w="2426" w:type="dxa"/>
            <w:tcBorders>
              <w:top w:val="single" w:color="auto" w:sz="4" w:space="0"/>
              <w:left w:val="single" w:color="auto" w:sz="4" w:space="0"/>
              <w:bottom w:val="single" w:color="auto" w:sz="4" w:space="0"/>
              <w:right w:val="single" w:color="auto" w:sz="4" w:space="0"/>
            </w:tcBorders>
            <w:vAlign w:val="center"/>
          </w:tcPr>
          <w:p>
            <w:pPr>
              <w:widowControl/>
              <w:ind w:firstLine="630" w:firstLineChars="300"/>
              <w:jc w:val="left"/>
              <w:rPr>
                <w:rFonts w:ascii="仿宋_GB2312" w:eastAsia="仿宋_GB2312"/>
                <w:b/>
                <w:bCs/>
                <w:kern w:val="0"/>
                <w:szCs w:val="21"/>
              </w:rPr>
            </w:pPr>
            <w:r>
              <w:rPr>
                <w:rFonts w:hint="eastAsia" w:ascii="仿宋_GB2312" w:eastAsia="仿宋_GB2312"/>
                <w:kern w:val="0"/>
                <w:szCs w:val="21"/>
              </w:rPr>
              <w:t>折旧</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10,732.09 </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12,067.59 </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-1,335.50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仿宋_GB2312" w:eastAsia="仿宋_GB2312"/>
                <w:b w:val="0"/>
                <w:bCs w:val="0"/>
                <w:szCs w:val="21"/>
                <w:lang w:val="en-US" w:eastAsia="zh-CN"/>
              </w:rPr>
            </w:pPr>
            <w:r>
              <w:rPr>
                <w:rFonts w:hint="eastAsia" w:ascii="仿宋_GB2312" w:eastAsia="仿宋_GB2312"/>
                <w:b w:val="0"/>
                <w:bCs w:val="0"/>
                <w:szCs w:val="21"/>
                <w:lang w:val="en-US" w:eastAsia="zh-CN"/>
              </w:rPr>
              <w:t>-11.07%</w:t>
            </w:r>
          </w:p>
        </w:tc>
      </w:tr>
      <w:tr>
        <w:tblPrEx>
          <w:tblCellMar>
            <w:top w:w="0" w:type="dxa"/>
            <w:left w:w="108" w:type="dxa"/>
            <w:bottom w:w="0" w:type="dxa"/>
            <w:right w:w="108" w:type="dxa"/>
          </w:tblCellMar>
        </w:tblPrEx>
        <w:trPr>
          <w:trHeight w:val="397" w:hRule="atLeast"/>
          <w:jc w:val="center"/>
        </w:trPr>
        <w:tc>
          <w:tcPr>
            <w:tcW w:w="654" w:type="dxa"/>
            <w:vMerge w:val="continue"/>
            <w:tcBorders>
              <w:left w:val="single" w:color="auto" w:sz="4" w:space="0"/>
              <w:right w:val="single" w:color="auto" w:sz="4" w:space="0"/>
            </w:tcBorders>
            <w:vAlign w:val="center"/>
          </w:tcPr>
          <w:p>
            <w:pPr>
              <w:widowControl/>
              <w:jc w:val="center"/>
              <w:rPr>
                <w:rFonts w:ascii="仿宋_GB2312" w:eastAsia="仿宋_GB2312"/>
                <w:szCs w:val="21"/>
              </w:rPr>
            </w:pPr>
          </w:p>
        </w:tc>
        <w:tc>
          <w:tcPr>
            <w:tcW w:w="2426" w:type="dxa"/>
            <w:tcBorders>
              <w:top w:val="single" w:color="auto" w:sz="4" w:space="0"/>
              <w:left w:val="single" w:color="auto" w:sz="4" w:space="0"/>
              <w:bottom w:val="single" w:color="auto" w:sz="4" w:space="0"/>
              <w:right w:val="single" w:color="auto" w:sz="4" w:space="0"/>
            </w:tcBorders>
            <w:vAlign w:val="center"/>
          </w:tcPr>
          <w:p>
            <w:pPr>
              <w:widowControl/>
              <w:ind w:firstLine="630" w:firstLineChars="300"/>
              <w:jc w:val="left"/>
              <w:rPr>
                <w:rFonts w:ascii="仿宋_GB2312" w:eastAsia="仿宋_GB2312"/>
                <w:b/>
                <w:bCs/>
                <w:kern w:val="0"/>
                <w:szCs w:val="21"/>
              </w:rPr>
            </w:pPr>
            <w:r>
              <w:rPr>
                <w:rFonts w:hint="eastAsia" w:ascii="仿宋_GB2312" w:eastAsia="仿宋_GB2312"/>
                <w:kern w:val="0"/>
                <w:szCs w:val="21"/>
              </w:rPr>
              <w:t>修理费</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1,887.11 </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1,896.15 </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-9.04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仿宋_GB2312" w:eastAsia="仿宋_GB2312"/>
                <w:b w:val="0"/>
                <w:bCs w:val="0"/>
                <w:szCs w:val="21"/>
                <w:lang w:val="en-US" w:eastAsia="zh-CN"/>
              </w:rPr>
            </w:pPr>
            <w:r>
              <w:rPr>
                <w:rFonts w:hint="eastAsia" w:ascii="仿宋_GB2312" w:eastAsia="仿宋_GB2312"/>
                <w:b w:val="0"/>
                <w:bCs w:val="0"/>
                <w:szCs w:val="21"/>
                <w:lang w:val="en-US" w:eastAsia="zh-CN"/>
              </w:rPr>
              <w:t>-0.48%</w:t>
            </w:r>
          </w:p>
        </w:tc>
      </w:tr>
      <w:tr>
        <w:tblPrEx>
          <w:tblCellMar>
            <w:top w:w="0" w:type="dxa"/>
            <w:left w:w="108" w:type="dxa"/>
            <w:bottom w:w="0" w:type="dxa"/>
            <w:right w:w="108" w:type="dxa"/>
          </w:tblCellMar>
        </w:tblPrEx>
        <w:trPr>
          <w:trHeight w:val="397" w:hRule="atLeast"/>
          <w:jc w:val="center"/>
        </w:trPr>
        <w:tc>
          <w:tcPr>
            <w:tcW w:w="654" w:type="dxa"/>
            <w:vMerge w:val="continue"/>
            <w:tcBorders>
              <w:left w:val="single" w:color="auto" w:sz="4" w:space="0"/>
              <w:right w:val="single" w:color="auto" w:sz="4" w:space="0"/>
            </w:tcBorders>
            <w:vAlign w:val="center"/>
          </w:tcPr>
          <w:p>
            <w:pPr>
              <w:widowControl/>
              <w:jc w:val="center"/>
              <w:rPr>
                <w:rFonts w:ascii="仿宋_GB2312" w:eastAsia="仿宋_GB2312"/>
                <w:szCs w:val="21"/>
              </w:rPr>
            </w:pPr>
          </w:p>
        </w:tc>
        <w:tc>
          <w:tcPr>
            <w:tcW w:w="2426"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jc w:val="left"/>
              <w:rPr>
                <w:rFonts w:ascii="仿宋_GB2312" w:eastAsia="仿宋_GB2312"/>
                <w:b/>
                <w:bCs/>
                <w:kern w:val="0"/>
                <w:szCs w:val="21"/>
              </w:rPr>
            </w:pPr>
            <w:r>
              <w:rPr>
                <w:rFonts w:hint="eastAsia" w:ascii="仿宋_GB2312" w:eastAsia="仿宋_GB2312"/>
                <w:kern w:val="0"/>
                <w:szCs w:val="21"/>
              </w:rPr>
              <w:t>车辆保险及事故费</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669.38 </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865.36 </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-195.98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仿宋_GB2312" w:eastAsia="仿宋_GB2312"/>
                <w:b w:val="0"/>
                <w:bCs w:val="0"/>
                <w:szCs w:val="21"/>
                <w:lang w:val="en-US" w:eastAsia="zh-CN"/>
              </w:rPr>
            </w:pPr>
            <w:r>
              <w:rPr>
                <w:rFonts w:hint="eastAsia" w:ascii="仿宋_GB2312" w:eastAsia="仿宋_GB2312"/>
                <w:b w:val="0"/>
                <w:bCs w:val="0"/>
                <w:szCs w:val="21"/>
                <w:lang w:val="en-US" w:eastAsia="zh-CN"/>
              </w:rPr>
              <w:t>-22.65%</w:t>
            </w:r>
          </w:p>
        </w:tc>
      </w:tr>
      <w:tr>
        <w:tblPrEx>
          <w:tblCellMar>
            <w:top w:w="0" w:type="dxa"/>
            <w:left w:w="108" w:type="dxa"/>
            <w:bottom w:w="0" w:type="dxa"/>
            <w:right w:w="108" w:type="dxa"/>
          </w:tblCellMar>
        </w:tblPrEx>
        <w:trPr>
          <w:trHeight w:val="397" w:hRule="atLeast"/>
          <w:jc w:val="center"/>
        </w:trPr>
        <w:tc>
          <w:tcPr>
            <w:tcW w:w="654" w:type="dxa"/>
            <w:vMerge w:val="continue"/>
            <w:tcBorders>
              <w:left w:val="single" w:color="auto" w:sz="4" w:space="0"/>
              <w:right w:val="single" w:color="auto" w:sz="4" w:space="0"/>
            </w:tcBorders>
            <w:vAlign w:val="center"/>
          </w:tcPr>
          <w:p>
            <w:pPr>
              <w:widowControl/>
              <w:jc w:val="center"/>
              <w:rPr>
                <w:rFonts w:ascii="仿宋_GB2312" w:eastAsia="仿宋_GB2312"/>
                <w:szCs w:val="21"/>
              </w:rPr>
            </w:pPr>
          </w:p>
        </w:tc>
        <w:tc>
          <w:tcPr>
            <w:tcW w:w="2426" w:type="dxa"/>
            <w:tcBorders>
              <w:top w:val="single" w:color="auto" w:sz="4" w:space="0"/>
              <w:left w:val="single" w:color="auto" w:sz="4" w:space="0"/>
              <w:bottom w:val="single" w:color="auto" w:sz="4" w:space="0"/>
              <w:right w:val="single" w:color="auto" w:sz="4" w:space="0"/>
            </w:tcBorders>
            <w:vAlign w:val="center"/>
          </w:tcPr>
          <w:p>
            <w:pPr>
              <w:widowControl/>
              <w:ind w:firstLine="630" w:firstLineChars="300"/>
              <w:jc w:val="left"/>
              <w:rPr>
                <w:rFonts w:ascii="仿宋_GB2312" w:eastAsia="仿宋_GB2312"/>
                <w:b/>
                <w:bCs/>
                <w:kern w:val="0"/>
                <w:szCs w:val="21"/>
              </w:rPr>
            </w:pPr>
            <w:r>
              <w:rPr>
                <w:rFonts w:hint="eastAsia" w:ascii="仿宋_GB2312" w:eastAsia="仿宋_GB2312"/>
                <w:kern w:val="0"/>
                <w:szCs w:val="21"/>
              </w:rPr>
              <w:t>租赁费</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112.71 </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639.60 </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-526.89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仿宋_GB2312" w:eastAsia="仿宋_GB2312"/>
                <w:b w:val="0"/>
                <w:bCs w:val="0"/>
                <w:szCs w:val="21"/>
                <w:lang w:val="en-US" w:eastAsia="zh-CN"/>
              </w:rPr>
            </w:pPr>
            <w:r>
              <w:rPr>
                <w:rFonts w:hint="eastAsia" w:ascii="仿宋_GB2312" w:eastAsia="仿宋_GB2312"/>
                <w:b w:val="0"/>
                <w:bCs w:val="0"/>
                <w:szCs w:val="21"/>
                <w:lang w:val="en-US" w:eastAsia="zh-CN"/>
              </w:rPr>
              <w:t>-82.38%</w:t>
            </w:r>
          </w:p>
        </w:tc>
      </w:tr>
      <w:tr>
        <w:tblPrEx>
          <w:tblCellMar>
            <w:top w:w="0" w:type="dxa"/>
            <w:left w:w="108" w:type="dxa"/>
            <w:bottom w:w="0" w:type="dxa"/>
            <w:right w:w="108" w:type="dxa"/>
          </w:tblCellMar>
        </w:tblPrEx>
        <w:trPr>
          <w:trHeight w:val="397" w:hRule="atLeast"/>
          <w:jc w:val="center"/>
        </w:trPr>
        <w:tc>
          <w:tcPr>
            <w:tcW w:w="654" w:type="dxa"/>
            <w:vMerge w:val="continue"/>
            <w:tcBorders>
              <w:left w:val="single" w:color="auto" w:sz="4" w:space="0"/>
              <w:bottom w:val="single" w:color="auto" w:sz="4" w:space="0"/>
              <w:right w:val="single" w:color="auto" w:sz="4" w:space="0"/>
            </w:tcBorders>
            <w:vAlign w:val="center"/>
          </w:tcPr>
          <w:p>
            <w:pPr>
              <w:widowControl/>
              <w:jc w:val="center"/>
              <w:rPr>
                <w:rFonts w:ascii="仿宋_GB2312" w:eastAsia="仿宋_GB2312"/>
                <w:szCs w:val="21"/>
              </w:rPr>
            </w:pPr>
          </w:p>
        </w:tc>
        <w:tc>
          <w:tcPr>
            <w:tcW w:w="2426" w:type="dxa"/>
            <w:tcBorders>
              <w:top w:val="single" w:color="auto" w:sz="4" w:space="0"/>
              <w:left w:val="single" w:color="auto" w:sz="4" w:space="0"/>
              <w:bottom w:val="single" w:color="auto" w:sz="4" w:space="0"/>
              <w:right w:val="single" w:color="auto" w:sz="4" w:space="0"/>
            </w:tcBorders>
            <w:vAlign w:val="center"/>
          </w:tcPr>
          <w:p>
            <w:pPr>
              <w:widowControl/>
              <w:ind w:firstLine="630" w:firstLineChars="300"/>
              <w:jc w:val="left"/>
              <w:rPr>
                <w:rFonts w:ascii="仿宋_GB2312" w:eastAsia="仿宋_GB2312"/>
                <w:b/>
                <w:bCs/>
                <w:kern w:val="0"/>
                <w:szCs w:val="21"/>
              </w:rPr>
            </w:pPr>
            <w:r>
              <w:rPr>
                <w:rFonts w:hint="eastAsia" w:ascii="仿宋_GB2312" w:eastAsia="仿宋_GB2312"/>
                <w:kern w:val="0"/>
                <w:szCs w:val="21"/>
              </w:rPr>
              <w:t>其他</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3,424.82 </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2,814.12 </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610.70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仿宋_GB2312" w:eastAsia="仿宋_GB2312"/>
                <w:b w:val="0"/>
                <w:bCs w:val="0"/>
                <w:szCs w:val="21"/>
                <w:lang w:val="en-US" w:eastAsia="zh-CN"/>
              </w:rPr>
            </w:pPr>
            <w:r>
              <w:rPr>
                <w:rFonts w:hint="eastAsia" w:ascii="仿宋_GB2312" w:eastAsia="仿宋_GB2312"/>
                <w:b w:val="0"/>
                <w:bCs w:val="0"/>
                <w:szCs w:val="21"/>
                <w:lang w:val="en-US" w:eastAsia="zh-CN"/>
              </w:rPr>
              <w:t>21.70%</w:t>
            </w:r>
          </w:p>
        </w:tc>
      </w:tr>
      <w:tr>
        <w:tblPrEx>
          <w:tblCellMar>
            <w:top w:w="0" w:type="dxa"/>
            <w:left w:w="108" w:type="dxa"/>
            <w:bottom w:w="0" w:type="dxa"/>
            <w:right w:w="108" w:type="dxa"/>
          </w:tblCellMar>
        </w:tblPrEx>
        <w:trPr>
          <w:trHeight w:val="397" w:hRule="atLeast"/>
          <w:jc w:val="center"/>
        </w:trPr>
        <w:tc>
          <w:tcPr>
            <w:tcW w:w="654" w:type="dxa"/>
            <w:vMerge w:val="restart"/>
            <w:tcBorders>
              <w:top w:val="single" w:color="auto" w:sz="4" w:space="0"/>
              <w:left w:val="single" w:color="auto" w:sz="4" w:space="0"/>
              <w:right w:val="single" w:color="auto" w:sz="4" w:space="0"/>
            </w:tcBorders>
            <w:vAlign w:val="center"/>
          </w:tcPr>
          <w:p>
            <w:pPr>
              <w:widowControl/>
              <w:jc w:val="center"/>
              <w:rPr>
                <w:rFonts w:ascii="仿宋_GB2312" w:eastAsia="仿宋_GB2312"/>
                <w:szCs w:val="21"/>
              </w:rPr>
            </w:pPr>
            <w:r>
              <w:rPr>
                <w:rFonts w:ascii="仿宋_GB2312" w:eastAsia="仿宋_GB2312"/>
                <w:szCs w:val="21"/>
              </w:rPr>
              <w:t>5</w:t>
            </w:r>
          </w:p>
        </w:tc>
        <w:tc>
          <w:tcPr>
            <w:tcW w:w="242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bCs/>
                <w:kern w:val="0"/>
                <w:szCs w:val="21"/>
              </w:rPr>
            </w:pPr>
            <w:r>
              <w:rPr>
                <w:rFonts w:hint="eastAsia" w:ascii="仿宋_GB2312" w:eastAsia="仿宋_GB2312"/>
                <w:kern w:val="0"/>
                <w:szCs w:val="21"/>
              </w:rPr>
              <w:t>期间费用</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8,307.28 </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8,019.67 </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287.61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仿宋_GB2312" w:eastAsia="仿宋_GB2312"/>
                <w:b w:val="0"/>
                <w:bCs w:val="0"/>
                <w:szCs w:val="21"/>
                <w:lang w:val="en-US" w:eastAsia="zh-CN"/>
              </w:rPr>
            </w:pPr>
            <w:r>
              <w:rPr>
                <w:rFonts w:hint="eastAsia" w:ascii="仿宋_GB2312" w:eastAsia="仿宋_GB2312"/>
                <w:b w:val="0"/>
                <w:bCs w:val="0"/>
                <w:szCs w:val="21"/>
                <w:lang w:val="en-US" w:eastAsia="zh-CN"/>
              </w:rPr>
              <w:t>3.59%</w:t>
            </w:r>
          </w:p>
        </w:tc>
      </w:tr>
      <w:tr>
        <w:tblPrEx>
          <w:tblCellMar>
            <w:top w:w="0" w:type="dxa"/>
            <w:left w:w="108" w:type="dxa"/>
            <w:bottom w:w="0" w:type="dxa"/>
            <w:right w:w="108" w:type="dxa"/>
          </w:tblCellMar>
        </w:tblPrEx>
        <w:trPr>
          <w:trHeight w:val="397" w:hRule="atLeast"/>
          <w:jc w:val="center"/>
        </w:trPr>
        <w:tc>
          <w:tcPr>
            <w:tcW w:w="654" w:type="dxa"/>
            <w:vMerge w:val="continue"/>
            <w:tcBorders>
              <w:left w:val="single" w:color="auto" w:sz="4" w:space="0"/>
              <w:right w:val="single" w:color="auto" w:sz="4" w:space="0"/>
            </w:tcBorders>
            <w:vAlign w:val="center"/>
          </w:tcPr>
          <w:p>
            <w:pPr>
              <w:jc w:val="center"/>
              <w:rPr>
                <w:rFonts w:ascii="仿宋_GB2312" w:eastAsia="仿宋_GB2312"/>
                <w:szCs w:val="21"/>
              </w:rPr>
            </w:pPr>
          </w:p>
        </w:tc>
        <w:tc>
          <w:tcPr>
            <w:tcW w:w="242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bCs/>
                <w:kern w:val="0"/>
                <w:szCs w:val="21"/>
              </w:rPr>
            </w:pPr>
            <w:r>
              <w:rPr>
                <w:rFonts w:hint="eastAsia" w:ascii="仿宋_GB2312" w:eastAsia="仿宋_GB2312"/>
                <w:kern w:val="0"/>
                <w:szCs w:val="21"/>
              </w:rPr>
              <w:t>其中：管理费用</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5,516.47 </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5,450.17 </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66.30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仿宋_GB2312" w:eastAsia="仿宋_GB2312"/>
                <w:b w:val="0"/>
                <w:bCs w:val="0"/>
                <w:szCs w:val="21"/>
                <w:lang w:val="en-US" w:eastAsia="zh-CN"/>
              </w:rPr>
            </w:pPr>
            <w:r>
              <w:rPr>
                <w:rFonts w:hint="eastAsia" w:ascii="仿宋_GB2312" w:eastAsia="仿宋_GB2312"/>
                <w:b w:val="0"/>
                <w:bCs w:val="0"/>
                <w:szCs w:val="21"/>
                <w:lang w:val="en-US" w:eastAsia="zh-CN"/>
              </w:rPr>
              <w:t>1.22%</w:t>
            </w:r>
          </w:p>
        </w:tc>
      </w:tr>
      <w:tr>
        <w:tblPrEx>
          <w:tblCellMar>
            <w:top w:w="0" w:type="dxa"/>
            <w:left w:w="108" w:type="dxa"/>
            <w:bottom w:w="0" w:type="dxa"/>
            <w:right w:w="108" w:type="dxa"/>
          </w:tblCellMar>
        </w:tblPrEx>
        <w:trPr>
          <w:trHeight w:val="397" w:hRule="atLeast"/>
          <w:jc w:val="center"/>
        </w:trPr>
        <w:tc>
          <w:tcPr>
            <w:tcW w:w="654" w:type="dxa"/>
            <w:vMerge w:val="continue"/>
            <w:tcBorders>
              <w:left w:val="single" w:color="auto" w:sz="4" w:space="0"/>
              <w:bottom w:val="single" w:color="auto" w:sz="4" w:space="0"/>
              <w:right w:val="single" w:color="auto" w:sz="4" w:space="0"/>
            </w:tcBorders>
            <w:vAlign w:val="center"/>
          </w:tcPr>
          <w:p>
            <w:pPr>
              <w:widowControl/>
              <w:jc w:val="center"/>
              <w:rPr>
                <w:rFonts w:ascii="仿宋_GB2312" w:eastAsia="仿宋_GB2312"/>
                <w:szCs w:val="21"/>
              </w:rPr>
            </w:pPr>
          </w:p>
        </w:tc>
        <w:tc>
          <w:tcPr>
            <w:tcW w:w="2426" w:type="dxa"/>
            <w:tcBorders>
              <w:top w:val="single" w:color="auto" w:sz="4" w:space="0"/>
              <w:left w:val="single" w:color="auto" w:sz="4" w:space="0"/>
              <w:bottom w:val="single" w:color="auto" w:sz="4" w:space="0"/>
              <w:right w:val="single" w:color="auto" w:sz="4" w:space="0"/>
            </w:tcBorders>
            <w:vAlign w:val="center"/>
          </w:tcPr>
          <w:p>
            <w:pPr>
              <w:widowControl/>
              <w:ind w:firstLine="630" w:firstLineChars="300"/>
              <w:jc w:val="left"/>
              <w:rPr>
                <w:rFonts w:ascii="仿宋_GB2312" w:eastAsia="仿宋_GB2312"/>
                <w:b/>
                <w:bCs/>
                <w:kern w:val="0"/>
                <w:szCs w:val="21"/>
              </w:rPr>
            </w:pPr>
            <w:r>
              <w:rPr>
                <w:rFonts w:hint="eastAsia" w:ascii="仿宋_GB2312" w:eastAsia="仿宋_GB2312"/>
                <w:kern w:val="0"/>
                <w:szCs w:val="21"/>
              </w:rPr>
              <w:t>财务费用</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2,790.81 </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2,569.50 </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val="0"/>
                <w:bCs w:val="0"/>
                <w:szCs w:val="21"/>
              </w:rPr>
            </w:pPr>
            <w:r>
              <w:rPr>
                <w:rFonts w:hint="eastAsia" w:ascii="仿宋_GB2312" w:eastAsia="仿宋_GB2312"/>
                <w:b w:val="0"/>
                <w:bCs w:val="0"/>
                <w:szCs w:val="21"/>
                <w:lang w:val="en-US" w:eastAsia="zh-CN"/>
              </w:rPr>
              <w:t xml:space="preserve"> 221.31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仿宋_GB2312" w:eastAsia="仿宋_GB2312"/>
                <w:b w:val="0"/>
                <w:bCs w:val="0"/>
                <w:szCs w:val="21"/>
                <w:lang w:val="en-US" w:eastAsia="zh-CN"/>
              </w:rPr>
            </w:pPr>
            <w:r>
              <w:rPr>
                <w:rFonts w:hint="eastAsia" w:ascii="仿宋_GB2312" w:eastAsia="仿宋_GB2312"/>
                <w:b w:val="0"/>
                <w:bCs w:val="0"/>
                <w:szCs w:val="21"/>
                <w:lang w:val="en-US" w:eastAsia="zh-CN"/>
              </w:rPr>
              <w:t>8.61%</w:t>
            </w:r>
          </w:p>
        </w:tc>
      </w:tr>
      <w:tr>
        <w:tblPrEx>
          <w:tblCellMar>
            <w:top w:w="0" w:type="dxa"/>
            <w:left w:w="108" w:type="dxa"/>
            <w:bottom w:w="0" w:type="dxa"/>
            <w:right w:w="108" w:type="dxa"/>
          </w:tblCellMar>
        </w:tblPrEx>
        <w:trPr>
          <w:trHeight w:val="397"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6</w:t>
            </w:r>
          </w:p>
        </w:tc>
        <w:tc>
          <w:tcPr>
            <w:tcW w:w="242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bCs/>
                <w:kern w:val="0"/>
                <w:szCs w:val="21"/>
              </w:rPr>
            </w:pPr>
            <w:r>
              <w:rPr>
                <w:rFonts w:hint="eastAsia" w:ascii="仿宋_GB2312" w:eastAsia="仿宋_GB2312"/>
                <w:kern w:val="0"/>
                <w:szCs w:val="21"/>
              </w:rPr>
              <w:t>其他业务支出</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ascii="仿宋_GB2312" w:eastAsia="仿宋_GB2312"/>
                <w:b w:val="0"/>
                <w:bCs w:val="0"/>
                <w:szCs w:val="21"/>
              </w:rPr>
            </w:pP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val="0"/>
                <w:bCs w:val="0"/>
                <w:szCs w:val="21"/>
              </w:rPr>
            </w:pP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val="0"/>
                <w:bCs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仿宋_GB2312" w:eastAsia="仿宋_GB2312"/>
                <w:b w:val="0"/>
                <w:bCs w:val="0"/>
                <w:szCs w:val="21"/>
                <w:lang w:val="en-US" w:eastAsia="zh-CN"/>
              </w:rPr>
            </w:pPr>
          </w:p>
        </w:tc>
      </w:tr>
      <w:tr>
        <w:tblPrEx>
          <w:tblCellMar>
            <w:top w:w="0" w:type="dxa"/>
            <w:left w:w="108" w:type="dxa"/>
            <w:bottom w:w="0" w:type="dxa"/>
            <w:right w:w="108" w:type="dxa"/>
          </w:tblCellMar>
        </w:tblPrEx>
        <w:trPr>
          <w:trHeight w:val="397"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7</w:t>
            </w:r>
          </w:p>
        </w:tc>
        <w:tc>
          <w:tcPr>
            <w:tcW w:w="242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bCs/>
                <w:kern w:val="0"/>
                <w:szCs w:val="21"/>
              </w:rPr>
            </w:pPr>
            <w:r>
              <w:rPr>
                <w:rFonts w:hint="eastAsia" w:ascii="仿宋_GB2312" w:eastAsia="仿宋_GB2312"/>
                <w:b/>
                <w:bCs/>
                <w:kern w:val="0"/>
                <w:szCs w:val="21"/>
              </w:rPr>
              <w:t>营业总成本合计</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ascii="仿宋_GB2312" w:eastAsia="仿宋_GB2312"/>
                <w:b/>
                <w:bCs/>
                <w:szCs w:val="21"/>
              </w:rPr>
            </w:pPr>
            <w:r>
              <w:rPr>
                <w:rFonts w:hint="eastAsia" w:ascii="仿宋_GB2312" w:eastAsia="仿宋_GB2312"/>
                <w:b/>
                <w:bCs/>
                <w:szCs w:val="21"/>
                <w:lang w:val="en-US" w:eastAsia="zh-CN"/>
              </w:rPr>
              <w:t xml:space="preserve"> 75,233.79 </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bCs/>
                <w:szCs w:val="21"/>
              </w:rPr>
            </w:pPr>
            <w:r>
              <w:rPr>
                <w:rFonts w:hint="eastAsia" w:ascii="仿宋_GB2312" w:eastAsia="仿宋_GB2312"/>
                <w:b/>
                <w:bCs/>
                <w:szCs w:val="21"/>
                <w:lang w:val="en-US" w:eastAsia="zh-CN"/>
              </w:rPr>
              <w:t xml:space="preserve"> 76,895.42 </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仿宋_GB2312" w:eastAsia="仿宋_GB2312"/>
                <w:b/>
                <w:bCs/>
                <w:szCs w:val="21"/>
              </w:rPr>
            </w:pPr>
            <w:r>
              <w:rPr>
                <w:rFonts w:hint="eastAsia" w:ascii="仿宋_GB2312" w:eastAsia="仿宋_GB2312"/>
                <w:b/>
                <w:bCs/>
                <w:szCs w:val="21"/>
                <w:lang w:val="en-US" w:eastAsia="zh-CN"/>
              </w:rPr>
              <w:t xml:space="preserve"> -1,661.63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仿宋_GB2312" w:eastAsia="仿宋_GB2312"/>
                <w:b/>
                <w:bCs/>
                <w:szCs w:val="21"/>
                <w:lang w:val="en-US" w:eastAsia="zh-CN"/>
              </w:rPr>
            </w:pPr>
            <w:r>
              <w:rPr>
                <w:rFonts w:hint="eastAsia" w:ascii="仿宋_GB2312" w:eastAsia="仿宋_GB2312"/>
                <w:b/>
                <w:bCs/>
                <w:szCs w:val="21"/>
                <w:lang w:val="en-US" w:eastAsia="zh-CN"/>
              </w:rPr>
              <w:t>-2.16%</w:t>
            </w:r>
          </w:p>
        </w:tc>
      </w:tr>
    </w:tbl>
    <w:p>
      <w:pPr>
        <w:widowControl/>
        <w:spacing w:line="360" w:lineRule="auto"/>
        <w:ind w:left="210" w:leftChars="100" w:firstLine="468" w:firstLineChars="195"/>
        <w:rPr>
          <w:rFonts w:ascii="仿宋_GB2312" w:hAnsi="仿宋" w:eastAsia="仿宋_GB2312" w:cs="仿宋_GB2312"/>
          <w:sz w:val="24"/>
        </w:rPr>
      </w:pPr>
      <w:r>
        <w:rPr>
          <w:rFonts w:hint="eastAsia" w:ascii="仿宋_GB2312" w:hAnsi="仿宋" w:eastAsia="仿宋_GB2312" w:cs="仿宋_GB2312"/>
          <w:sz w:val="24"/>
        </w:rPr>
        <w:t>注：1</w:t>
      </w:r>
      <w:r>
        <w:rPr>
          <w:rFonts w:ascii="仿宋_GB2312" w:hAnsi="仿宋" w:eastAsia="仿宋_GB2312" w:cs="仿宋_GB2312"/>
          <w:sz w:val="24"/>
        </w:rPr>
        <w:t>.</w:t>
      </w:r>
      <w:r>
        <w:rPr>
          <w:rFonts w:hint="eastAsia" w:ascii="仿宋_GB2312" w:hAnsi="仿宋" w:eastAsia="仿宋_GB2312" w:cs="仿宋_GB2312"/>
          <w:sz w:val="24"/>
        </w:rPr>
        <w:t>营业总收入不包括营业外收入及财政补贴收入等。</w:t>
      </w:r>
    </w:p>
    <w:p>
      <w:pPr>
        <w:spacing w:line="360" w:lineRule="auto"/>
        <w:ind w:firstLine="480" w:firstLineChars="200"/>
        <w:rPr>
          <w:rFonts w:hint="eastAsia" w:ascii="仿宋_GB2312" w:eastAsia="仿宋_GB2312"/>
          <w:sz w:val="32"/>
          <w:szCs w:val="32"/>
        </w:rPr>
      </w:pPr>
      <w:r>
        <w:rPr>
          <w:rFonts w:ascii="仿宋_GB2312" w:hAnsi="仿宋" w:eastAsia="仿宋_GB2312" w:cs="仿宋_GB2312"/>
          <w:sz w:val="24"/>
        </w:rPr>
        <w:t>2.</w:t>
      </w:r>
      <w:r>
        <w:rPr>
          <w:rFonts w:hint="eastAsia" w:ascii="仿宋_GB2312" w:hAnsi="仿宋" w:eastAsia="仿宋_GB2312" w:cs="仿宋_GB2312"/>
          <w:sz w:val="24"/>
        </w:rPr>
        <w:t>营业总成本不包括税金及附加、资产减值损失及营业外支出等。</w:t>
      </w:r>
    </w:p>
    <w:p>
      <w:pPr>
        <w:keepNext/>
        <w:keepLines/>
        <w:pageBreakBefore w:val="0"/>
        <w:widowControl w:val="0"/>
        <w:kinsoku/>
        <w:wordWrap/>
        <w:overflowPunct/>
        <w:topLinePunct w:val="0"/>
        <w:autoSpaceDE/>
        <w:autoSpaceDN/>
        <w:bidi w:val="0"/>
        <w:adjustRightInd/>
        <w:snapToGrid/>
        <w:spacing w:before="0" w:after="0" w:line="360" w:lineRule="auto"/>
        <w:ind w:firstLine="640" w:firstLineChars="200"/>
        <w:textAlignment w:val="auto"/>
        <w:outlineLvl w:val="9"/>
        <w:rPr>
          <w:rFonts w:hint="default" w:ascii="楷体" w:hAnsi="楷体" w:eastAsia="楷体" w:cs="楷体"/>
          <w:b w:val="0"/>
          <w:bCs/>
          <w:sz w:val="32"/>
          <w:szCs w:val="32"/>
          <w:highlight w:val="none"/>
          <w:lang w:val="en-US" w:eastAsia="zh-CN"/>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二</w:t>
      </w:r>
      <w:r>
        <w:rPr>
          <w:rFonts w:hint="eastAsia" w:ascii="楷体" w:hAnsi="楷体" w:eastAsia="楷体" w:cs="楷体"/>
          <w:b w:val="0"/>
          <w:bCs/>
          <w:sz w:val="32"/>
          <w:szCs w:val="32"/>
          <w:highlight w:val="none"/>
          <w:lang w:eastAsia="zh-CN"/>
        </w:rPr>
        <w:t>）公交企业运营服务能级持续深化，服务品质实现系统性提升</w:t>
      </w:r>
    </w:p>
    <w:p>
      <w:pPr>
        <w:spacing w:line="360" w:lineRule="auto"/>
        <w:ind w:firstLine="640" w:firstLineChars="200"/>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highlight w:val="none"/>
        </w:rPr>
        <w:t>20</w:t>
      </w:r>
      <w:r>
        <w:rPr>
          <w:rFonts w:ascii="仿宋_GB2312" w:hAnsi="仿宋" w:eastAsia="仿宋_GB2312" w:cs="仿宋_GB2312"/>
          <w:sz w:val="32"/>
          <w:szCs w:val="32"/>
          <w:highlight w:val="none"/>
        </w:rPr>
        <w:t>2</w:t>
      </w:r>
      <w:r>
        <w:rPr>
          <w:rFonts w:hint="eastAsia" w:ascii="仿宋_GB2312" w:hAnsi="仿宋" w:eastAsia="仿宋_GB2312" w:cs="仿宋_GB2312"/>
          <w:sz w:val="32"/>
          <w:szCs w:val="32"/>
          <w:highlight w:val="none"/>
          <w:lang w:val="en-US" w:eastAsia="zh-CN"/>
        </w:rPr>
        <w:t>4</w:t>
      </w:r>
      <w:r>
        <w:rPr>
          <w:rFonts w:hint="eastAsia" w:ascii="仿宋_GB2312" w:hAnsi="仿宋" w:eastAsia="仿宋_GB2312" w:cs="仿宋_GB2312"/>
          <w:sz w:val="32"/>
          <w:szCs w:val="32"/>
          <w:highlight w:val="none"/>
        </w:rPr>
        <w:t>年，公交</w:t>
      </w:r>
      <w:r>
        <w:rPr>
          <w:rFonts w:hint="eastAsia" w:ascii="仿宋_GB2312" w:hAnsi="仿宋" w:eastAsia="仿宋_GB2312" w:cs="仿宋_GB2312"/>
          <w:sz w:val="32"/>
          <w:szCs w:val="32"/>
          <w:highlight w:val="none"/>
          <w:lang w:val="en-US" w:eastAsia="zh-CN"/>
        </w:rPr>
        <w:t>企业</w:t>
      </w:r>
      <w:r>
        <w:rPr>
          <w:rFonts w:hint="eastAsia" w:ascii="仿宋_GB2312" w:hAnsi="仿宋" w:eastAsia="仿宋_GB2312" w:cs="仿宋_GB2312"/>
          <w:sz w:val="32"/>
          <w:szCs w:val="32"/>
          <w:highlight w:val="none"/>
        </w:rPr>
        <w:t>立足群众出行需求，积极探索创新，着力拓展公交服务模式，推出响应式停靠公交、畅通微循环公交、发展定制公交、开通假日旅游线路、打造动态公交，提升了公交运营效率，</w:t>
      </w:r>
      <w:r>
        <w:rPr>
          <w:rFonts w:hint="eastAsia" w:ascii="仿宋_GB2312" w:hAnsi="仿宋" w:eastAsia="仿宋_GB2312" w:cs="仿宋_GB2312"/>
          <w:sz w:val="32"/>
          <w:szCs w:val="32"/>
          <w:highlight w:val="none"/>
          <w:lang w:eastAsia="zh-CN"/>
        </w:rPr>
        <w:t>逐步建立多层次融合、多方式可选、全过程连贯的一体化公交运营服务体系，精准供给，</w:t>
      </w:r>
      <w:r>
        <w:rPr>
          <w:rFonts w:hint="eastAsia" w:ascii="仿宋_GB2312" w:hAnsi="仿宋" w:eastAsia="仿宋_GB2312" w:cs="仿宋_GB2312"/>
          <w:sz w:val="32"/>
          <w:szCs w:val="32"/>
          <w:highlight w:val="none"/>
        </w:rPr>
        <w:t>有效解决了乘客“最后一公里”出行难题。</w:t>
      </w:r>
      <w:r>
        <w:rPr>
          <w:rFonts w:hint="eastAsia" w:ascii="仿宋_GB2312" w:hAnsi="仿宋" w:eastAsia="仿宋_GB2312" w:cs="仿宋_GB2312"/>
          <w:sz w:val="32"/>
          <w:szCs w:val="32"/>
          <w:highlight w:val="none"/>
          <w:lang w:val="en-US" w:eastAsia="zh-CN"/>
        </w:rPr>
        <w:t>公交企业深入推进信息化与运营管理深度融合，通过数字化转型显著提升现代化管理水平和运营效能，各项关键营运指标持续优化。</w:t>
      </w:r>
      <w:r>
        <w:rPr>
          <w:rFonts w:hint="eastAsia" w:ascii="仿宋_GB2312" w:hAnsi="仿宋" w:eastAsia="仿宋_GB2312" w:cs="仿宋_GB2312"/>
          <w:sz w:val="32"/>
          <w:szCs w:val="32"/>
        </w:rPr>
        <w:t>20</w:t>
      </w:r>
      <w:r>
        <w:rPr>
          <w:rFonts w:ascii="仿宋_GB2312" w:hAnsi="仿宋" w:eastAsia="仿宋_GB2312" w:cs="仿宋_GB2312"/>
          <w:sz w:val="32"/>
          <w:szCs w:val="32"/>
        </w:rPr>
        <w:t>2</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年，</w:t>
      </w:r>
      <w:r>
        <w:rPr>
          <w:rFonts w:hint="eastAsia" w:ascii="仿宋_GB2312" w:hAnsi="仿宋" w:eastAsia="仿宋_GB2312" w:cs="仿宋_GB2312"/>
          <w:b/>
          <w:sz w:val="32"/>
          <w:szCs w:val="32"/>
        </w:rPr>
        <w:t>公交集团所属公交企业</w:t>
      </w:r>
      <w:r>
        <w:rPr>
          <w:rFonts w:hint="eastAsia" w:ascii="仿宋_GB2312" w:hAnsi="仿宋" w:eastAsia="仿宋_GB2312" w:cs="仿宋_GB2312"/>
          <w:sz w:val="32"/>
          <w:szCs w:val="32"/>
        </w:rPr>
        <w:t>总行驶里程达到30,132.70万公里，比上年减少150.30万公里；营运线路总长度8,187.20公里，比上年</w:t>
      </w:r>
      <w:r>
        <w:rPr>
          <w:rFonts w:hint="eastAsia" w:ascii="仿宋_GB2312" w:hAnsi="仿宋" w:eastAsia="仿宋_GB2312" w:cs="仿宋_GB2312"/>
          <w:sz w:val="32"/>
          <w:szCs w:val="32"/>
          <w:lang w:val="en-US" w:eastAsia="zh-CN"/>
        </w:rPr>
        <w:t>增加</w:t>
      </w:r>
      <w:r>
        <w:rPr>
          <w:rFonts w:hint="eastAsia" w:ascii="仿宋_GB2312" w:hAnsi="仿宋" w:eastAsia="仿宋_GB2312" w:cs="仿宋_GB2312"/>
          <w:sz w:val="32"/>
          <w:szCs w:val="32"/>
        </w:rPr>
        <w:t>119.40公里；客运总人次达到41,592.68万人次，比上年</w:t>
      </w:r>
      <w:r>
        <w:rPr>
          <w:rFonts w:hint="eastAsia" w:ascii="仿宋_GB2312" w:hAnsi="仿宋" w:eastAsia="仿宋_GB2312" w:cs="仿宋_GB2312"/>
          <w:sz w:val="32"/>
          <w:szCs w:val="32"/>
          <w:lang w:val="en-US" w:eastAsia="zh-CN"/>
        </w:rPr>
        <w:t>增加</w:t>
      </w:r>
      <w:r>
        <w:rPr>
          <w:rFonts w:hint="eastAsia" w:ascii="仿宋_GB2312" w:hAnsi="仿宋" w:eastAsia="仿宋_GB2312" w:cs="仿宋_GB2312"/>
          <w:sz w:val="32"/>
          <w:szCs w:val="32"/>
        </w:rPr>
        <w:t>795.51万人次；营运线路共有4</w:t>
      </w:r>
      <w:r>
        <w:rPr>
          <w:rFonts w:hint="eastAsia" w:ascii="仿宋_GB2312" w:hAnsi="仿宋" w:eastAsia="仿宋_GB2312" w:cs="仿宋_GB2312"/>
          <w:sz w:val="32"/>
          <w:szCs w:val="32"/>
          <w:lang w:val="en-US" w:eastAsia="zh-CN"/>
        </w:rPr>
        <w:t>95</w:t>
      </w:r>
      <w:r>
        <w:rPr>
          <w:rFonts w:hint="eastAsia" w:ascii="仿宋_GB2312" w:hAnsi="仿宋" w:eastAsia="仿宋_GB2312" w:cs="仿宋_GB2312"/>
          <w:sz w:val="32"/>
          <w:szCs w:val="32"/>
        </w:rPr>
        <w:t>条，比上年增加</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条；</w:t>
      </w:r>
      <w:r>
        <w:rPr>
          <w:rFonts w:hint="eastAsia" w:ascii="仿宋_GB2312" w:hAnsi="仿宋" w:eastAsia="仿宋_GB2312" w:cs="仿宋_GB2312"/>
          <w:sz w:val="32"/>
          <w:szCs w:val="32"/>
          <w:lang w:val="en-US" w:eastAsia="zh-CN"/>
        </w:rPr>
        <w:t>截至2024年末，</w:t>
      </w:r>
      <w:r>
        <w:rPr>
          <w:rFonts w:hint="eastAsia" w:ascii="仿宋_GB2312" w:hAnsi="仿宋" w:eastAsia="仿宋_GB2312" w:cs="仿宋_GB2312"/>
          <w:sz w:val="32"/>
          <w:szCs w:val="32"/>
        </w:rPr>
        <w:t>营运公交车为5</w:t>
      </w:r>
      <w:r>
        <w:rPr>
          <w:rFonts w:hint="eastAsia" w:ascii="仿宋_GB2312" w:hAnsi="仿宋" w:eastAsia="仿宋_GB2312" w:cs="仿宋_GB2312"/>
          <w:sz w:val="32"/>
          <w:szCs w:val="32"/>
          <w:lang w:val="en-US" w:eastAsia="zh-CN"/>
        </w:rPr>
        <w:t>5</w:t>
      </w:r>
      <w:r>
        <w:rPr>
          <w:rFonts w:hint="eastAsia" w:ascii="仿宋_GB2312" w:hAnsi="仿宋" w:eastAsia="仿宋_GB2312" w:cs="仿宋_GB2312"/>
          <w:sz w:val="32"/>
          <w:szCs w:val="32"/>
        </w:rPr>
        <w:t>00辆，比上年减少</w:t>
      </w:r>
      <w:r>
        <w:rPr>
          <w:rFonts w:hint="eastAsia" w:ascii="仿宋_GB2312" w:hAnsi="仿宋" w:eastAsia="仿宋_GB2312" w:cs="仿宋_GB2312"/>
          <w:sz w:val="32"/>
          <w:szCs w:val="32"/>
          <w:lang w:val="en-US" w:eastAsia="zh-CN"/>
        </w:rPr>
        <w:t>300</w:t>
      </w:r>
      <w:r>
        <w:rPr>
          <w:rFonts w:hint="eastAsia" w:ascii="仿宋_GB2312" w:hAnsi="仿宋" w:eastAsia="仿宋_GB2312" w:cs="仿宋_GB2312"/>
          <w:sz w:val="32"/>
          <w:szCs w:val="32"/>
        </w:rPr>
        <w:t>辆。</w:t>
      </w:r>
      <w:r>
        <w:rPr>
          <w:rFonts w:hint="eastAsia" w:ascii="仿宋_GB2312" w:hAnsi="仿宋" w:eastAsia="仿宋_GB2312" w:cs="仿宋_GB2312"/>
          <w:b/>
          <w:sz w:val="32"/>
          <w:szCs w:val="32"/>
        </w:rPr>
        <w:t>东山公交</w:t>
      </w:r>
      <w:r>
        <w:rPr>
          <w:rFonts w:hint="eastAsia" w:ascii="仿宋_GB2312" w:hAnsi="仿宋" w:eastAsia="仿宋_GB2312" w:cs="仿宋_GB2312"/>
          <w:sz w:val="32"/>
          <w:szCs w:val="32"/>
        </w:rPr>
        <w:t>总行驶里程达到7,287.27万公里，比上年减少89.4</w:t>
      </w:r>
      <w:r>
        <w:rPr>
          <w:rFonts w:hint="eastAsia" w:ascii="仿宋_GB2312" w:hAnsi="仿宋" w:eastAsia="仿宋_GB2312" w:cs="仿宋_GB2312"/>
          <w:sz w:val="32"/>
          <w:szCs w:val="32"/>
          <w:lang w:val="en-US" w:eastAsia="zh-CN"/>
        </w:rPr>
        <w:t>0</w:t>
      </w:r>
      <w:r>
        <w:rPr>
          <w:rFonts w:hint="eastAsia" w:ascii="仿宋_GB2312" w:hAnsi="仿宋" w:eastAsia="仿宋_GB2312" w:cs="仿宋_GB2312"/>
          <w:sz w:val="32"/>
          <w:szCs w:val="32"/>
        </w:rPr>
        <w:t>万公里；营运线路总长度2,850.00公里，比上年增加17.2</w:t>
      </w:r>
      <w:r>
        <w:rPr>
          <w:rFonts w:hint="eastAsia" w:ascii="仿宋_GB2312" w:hAnsi="仿宋" w:eastAsia="仿宋_GB2312" w:cs="仿宋_GB2312"/>
          <w:sz w:val="32"/>
          <w:szCs w:val="32"/>
          <w:lang w:val="en-US" w:eastAsia="zh-CN"/>
        </w:rPr>
        <w:t>0</w:t>
      </w:r>
      <w:r>
        <w:rPr>
          <w:rFonts w:hint="eastAsia" w:ascii="仿宋_GB2312" w:hAnsi="仿宋" w:eastAsia="仿宋_GB2312" w:cs="仿宋_GB2312"/>
          <w:sz w:val="32"/>
          <w:szCs w:val="32"/>
        </w:rPr>
        <w:t>公里；客运总人次达到6,776.38万人次，比上年减少98.6</w:t>
      </w:r>
      <w:r>
        <w:rPr>
          <w:rFonts w:hint="eastAsia" w:ascii="仿宋_GB2312" w:hAnsi="仿宋" w:eastAsia="仿宋_GB2312" w:cs="仿宋_GB2312"/>
          <w:sz w:val="32"/>
          <w:szCs w:val="32"/>
          <w:lang w:val="en-US" w:eastAsia="zh-CN"/>
        </w:rPr>
        <w:t>0</w:t>
      </w:r>
      <w:r>
        <w:rPr>
          <w:rFonts w:hint="eastAsia" w:ascii="仿宋_GB2312" w:hAnsi="仿宋" w:eastAsia="仿宋_GB2312" w:cs="仿宋_GB2312"/>
          <w:sz w:val="32"/>
          <w:szCs w:val="32"/>
        </w:rPr>
        <w:t>万人次；营运线路共有</w:t>
      </w:r>
      <w:r>
        <w:rPr>
          <w:rFonts w:ascii="仿宋_GB2312" w:hAnsi="仿宋" w:eastAsia="仿宋_GB2312" w:cs="仿宋_GB2312"/>
          <w:sz w:val="32"/>
          <w:szCs w:val="32"/>
        </w:rPr>
        <w:t>1</w:t>
      </w:r>
      <w:r>
        <w:rPr>
          <w:rFonts w:hint="eastAsia" w:ascii="仿宋_GB2312" w:hAnsi="仿宋" w:eastAsia="仿宋_GB2312" w:cs="仿宋_GB2312"/>
          <w:sz w:val="32"/>
          <w:szCs w:val="32"/>
        </w:rPr>
        <w:t>9</w:t>
      </w:r>
      <w:r>
        <w:rPr>
          <w:rFonts w:ascii="仿宋_GB2312" w:hAnsi="仿宋" w:eastAsia="仿宋_GB2312" w:cs="仿宋_GB2312"/>
          <w:sz w:val="32"/>
          <w:szCs w:val="32"/>
        </w:rPr>
        <w:t>8</w:t>
      </w:r>
      <w:r>
        <w:rPr>
          <w:rFonts w:hint="eastAsia" w:ascii="仿宋_GB2312" w:hAnsi="仿宋" w:eastAsia="仿宋_GB2312" w:cs="仿宋_GB2312"/>
          <w:sz w:val="32"/>
          <w:szCs w:val="32"/>
        </w:rPr>
        <w:t>条，</w:t>
      </w:r>
      <w:r>
        <w:rPr>
          <w:rFonts w:hint="eastAsia" w:ascii="仿宋_GB2312" w:hAnsi="仿宋" w:eastAsia="仿宋_GB2312" w:cs="仿宋_GB2312"/>
          <w:sz w:val="32"/>
          <w:szCs w:val="32"/>
          <w:lang w:val="en-US" w:eastAsia="zh-CN"/>
        </w:rPr>
        <w:t>无变动</w:t>
      </w:r>
      <w:r>
        <w:rPr>
          <w:rFonts w:hint="eastAsia" w:ascii="仿宋_GB2312" w:hAnsi="仿宋" w:eastAsia="仿宋_GB2312" w:cs="仿宋_GB2312"/>
          <w:sz w:val="32"/>
          <w:szCs w:val="32"/>
        </w:rPr>
        <w:t>；截至202</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年末，营运公交车达到</w:t>
      </w:r>
      <w:r>
        <w:rPr>
          <w:rFonts w:hint="eastAsia" w:ascii="仿宋_GB2312" w:hAnsi="仿宋" w:eastAsia="仿宋_GB2312" w:cs="仿宋_GB2312"/>
          <w:sz w:val="32"/>
          <w:szCs w:val="32"/>
          <w:lang w:val="en-US" w:eastAsia="zh-CN"/>
        </w:rPr>
        <w:t>1322</w:t>
      </w:r>
      <w:r>
        <w:rPr>
          <w:rFonts w:hint="eastAsia" w:ascii="仿宋_GB2312" w:hAnsi="仿宋" w:eastAsia="仿宋_GB2312" w:cs="仿宋_GB2312"/>
          <w:sz w:val="32"/>
          <w:szCs w:val="32"/>
        </w:rPr>
        <w:t>辆，比上年</w:t>
      </w:r>
      <w:r>
        <w:rPr>
          <w:rFonts w:hint="eastAsia" w:ascii="仿宋_GB2312" w:hAnsi="仿宋" w:eastAsia="仿宋_GB2312" w:cs="仿宋_GB2312"/>
          <w:sz w:val="32"/>
          <w:szCs w:val="32"/>
          <w:lang w:val="en-US" w:eastAsia="zh-CN"/>
        </w:rPr>
        <w:t>减少11</w:t>
      </w:r>
      <w:r>
        <w:rPr>
          <w:rFonts w:hint="eastAsia" w:ascii="仿宋_GB2312" w:hAnsi="仿宋" w:eastAsia="仿宋_GB2312" w:cs="仿宋_GB2312"/>
          <w:sz w:val="32"/>
          <w:szCs w:val="32"/>
        </w:rPr>
        <w:t>8辆。具体详细情况见下表四。</w:t>
      </w:r>
    </w:p>
    <w:p>
      <w:pPr>
        <w:spacing w:line="360" w:lineRule="auto"/>
        <w:jc w:val="center"/>
        <w:rPr>
          <w:rFonts w:ascii="仿宋_GB2312" w:hAnsi="仿宋" w:eastAsia="仿宋_GB2312"/>
          <w:b/>
          <w:bCs/>
          <w:sz w:val="28"/>
          <w:szCs w:val="28"/>
        </w:rPr>
      </w:pPr>
      <w:r>
        <w:rPr>
          <w:rFonts w:hint="eastAsia" w:ascii="仿宋_GB2312" w:hAnsi="仿宋" w:eastAsia="仿宋_GB2312"/>
          <w:b/>
          <w:bCs/>
          <w:sz w:val="28"/>
          <w:szCs w:val="28"/>
        </w:rPr>
        <w:t>表四：</w:t>
      </w:r>
      <w:bookmarkStart w:id="14" w:name="_Hlk111322980"/>
      <w:r>
        <w:rPr>
          <w:rFonts w:ascii="仿宋_GB2312" w:hAnsi="仿宋" w:eastAsia="仿宋_GB2312"/>
          <w:b/>
          <w:bCs/>
          <w:sz w:val="28"/>
          <w:szCs w:val="28"/>
        </w:rPr>
        <w:t>202</w:t>
      </w:r>
      <w:r>
        <w:rPr>
          <w:rFonts w:hint="eastAsia" w:ascii="仿宋_GB2312" w:hAnsi="仿宋" w:eastAsia="仿宋_GB2312"/>
          <w:b/>
          <w:bCs/>
          <w:sz w:val="28"/>
          <w:szCs w:val="28"/>
          <w:lang w:val="en-US" w:eastAsia="zh-CN"/>
        </w:rPr>
        <w:t>4</w:t>
      </w:r>
      <w:r>
        <w:rPr>
          <w:rFonts w:hint="eastAsia" w:ascii="仿宋_GB2312" w:hAnsi="仿宋" w:eastAsia="仿宋_GB2312"/>
          <w:b/>
          <w:bCs/>
          <w:sz w:val="28"/>
          <w:szCs w:val="28"/>
        </w:rPr>
        <w:t>年公交企业主要营运指标情况</w:t>
      </w:r>
      <w:bookmarkEnd w:id="14"/>
    </w:p>
    <w:tbl>
      <w:tblPr>
        <w:tblStyle w:val="9"/>
        <w:tblW w:w="8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2609"/>
        <w:gridCol w:w="1375"/>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547" w:type="dxa"/>
            <w:tcBorders>
              <w:left w:val="single" w:color="auto" w:sz="4" w:space="0"/>
            </w:tcBorders>
            <w:vAlign w:val="center"/>
          </w:tcPr>
          <w:p>
            <w:pPr>
              <w:jc w:val="center"/>
              <w:rPr>
                <w:rFonts w:hint="eastAsia" w:ascii="仿宋_GB2312" w:eastAsia="仿宋_GB2312"/>
                <w:szCs w:val="21"/>
              </w:rPr>
            </w:pPr>
            <w:r>
              <w:rPr>
                <w:rFonts w:hint="eastAsia" w:ascii="仿宋_GB2312" w:eastAsia="仿宋_GB2312"/>
                <w:b/>
                <w:bCs/>
                <w:szCs w:val="21"/>
              </w:rPr>
              <w:t>项目</w:t>
            </w:r>
          </w:p>
        </w:tc>
        <w:tc>
          <w:tcPr>
            <w:tcW w:w="2609" w:type="dxa"/>
            <w:vAlign w:val="center"/>
          </w:tcPr>
          <w:p>
            <w:pPr>
              <w:jc w:val="center"/>
              <w:rPr>
                <w:rFonts w:hint="eastAsia" w:ascii="仿宋_GB2312" w:eastAsia="仿宋_GB2312"/>
                <w:szCs w:val="21"/>
              </w:rPr>
            </w:pPr>
            <w:r>
              <w:rPr>
                <w:rFonts w:hint="eastAsia" w:ascii="仿宋_GB2312" w:eastAsia="仿宋_GB2312"/>
                <w:b/>
                <w:bCs/>
                <w:szCs w:val="21"/>
              </w:rPr>
              <w:t>公交集团所属公交企业</w:t>
            </w:r>
          </w:p>
        </w:tc>
        <w:tc>
          <w:tcPr>
            <w:tcW w:w="1375" w:type="dxa"/>
            <w:vAlign w:val="center"/>
          </w:tcPr>
          <w:p>
            <w:pPr>
              <w:jc w:val="center"/>
              <w:rPr>
                <w:rFonts w:hint="eastAsia" w:ascii="仿宋_GB2312" w:eastAsia="仿宋_GB2312"/>
                <w:szCs w:val="21"/>
              </w:rPr>
            </w:pPr>
            <w:r>
              <w:rPr>
                <w:rFonts w:hint="eastAsia" w:ascii="仿宋_GB2312" w:eastAsia="仿宋_GB2312"/>
                <w:b/>
                <w:bCs/>
                <w:szCs w:val="21"/>
              </w:rPr>
              <w:t>东山公交</w:t>
            </w:r>
          </w:p>
        </w:tc>
        <w:tc>
          <w:tcPr>
            <w:tcW w:w="1695" w:type="dxa"/>
            <w:tcBorders>
              <w:right w:val="single" w:color="auto" w:sz="4" w:space="0"/>
            </w:tcBorders>
            <w:vAlign w:val="center"/>
          </w:tcPr>
          <w:p>
            <w:pPr>
              <w:jc w:val="center"/>
              <w:rPr>
                <w:rFonts w:hint="eastAsia" w:ascii="仿宋_GB2312" w:hAnsi="仿宋" w:eastAsia="仿宋_GB2312"/>
                <w:szCs w:val="21"/>
              </w:rPr>
            </w:pPr>
            <w:r>
              <w:rPr>
                <w:rFonts w:hint="eastAsia" w:ascii="仿宋_GB2312" w:hAnsi="仿宋" w:eastAsia="仿宋_GB2312"/>
                <w:b/>
                <w:bCs/>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7" w:type="dxa"/>
            <w:tcBorders>
              <w:left w:val="single" w:color="auto" w:sz="4" w:space="0"/>
            </w:tcBorders>
            <w:vAlign w:val="center"/>
          </w:tcPr>
          <w:p>
            <w:pPr>
              <w:widowControl/>
              <w:jc w:val="left"/>
              <w:textAlignment w:val="center"/>
              <w:rPr>
                <w:rFonts w:hint="eastAsia" w:ascii="仿宋_GB2312" w:hAnsi="仿宋" w:eastAsia="仿宋_GB2312" w:cs="仿宋"/>
                <w:color w:val="000000"/>
                <w:kern w:val="0"/>
                <w:szCs w:val="21"/>
              </w:rPr>
            </w:pPr>
            <w:r>
              <w:rPr>
                <w:rFonts w:hint="eastAsia" w:ascii="仿宋_GB2312" w:hAnsi="仿宋" w:eastAsia="仿宋_GB2312" w:cs="仿宋"/>
                <w:color w:val="000000"/>
                <w:kern w:val="0"/>
                <w:szCs w:val="21"/>
              </w:rPr>
              <w:t>总行驶里程（万公里）</w:t>
            </w:r>
          </w:p>
        </w:tc>
        <w:tc>
          <w:tcPr>
            <w:tcW w:w="2609" w:type="dxa"/>
            <w:vAlign w:val="center"/>
          </w:tcPr>
          <w:p>
            <w:pPr>
              <w:widowControl/>
              <w:jc w:val="right"/>
              <w:textAlignment w:val="center"/>
              <w:rPr>
                <w:rFonts w:hint="eastAsia" w:ascii="仿宋_GB2312" w:eastAsia="仿宋_GB2312"/>
                <w:sz w:val="21"/>
                <w:szCs w:val="21"/>
                <w:highlight w:val="none"/>
              </w:rPr>
            </w:pPr>
            <w:r>
              <w:rPr>
                <w:rFonts w:hint="eastAsia" w:ascii="仿宋_GB2312" w:eastAsia="仿宋_GB2312"/>
                <w:sz w:val="21"/>
                <w:szCs w:val="21"/>
                <w:highlight w:val="none"/>
              </w:rPr>
              <w:t xml:space="preserve"> 30,132.70 </w:t>
            </w:r>
          </w:p>
        </w:tc>
        <w:tc>
          <w:tcPr>
            <w:tcW w:w="1375" w:type="dxa"/>
            <w:vAlign w:val="center"/>
          </w:tcPr>
          <w:p>
            <w:pPr>
              <w:widowControl/>
              <w:jc w:val="right"/>
              <w:textAlignment w:val="cente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 xml:space="preserve"> 7,287.27 </w:t>
            </w:r>
          </w:p>
        </w:tc>
        <w:tc>
          <w:tcPr>
            <w:tcW w:w="1695" w:type="dxa"/>
            <w:tcBorders>
              <w:right w:val="single" w:color="auto" w:sz="4" w:space="0"/>
            </w:tcBorders>
            <w:vAlign w:val="center"/>
          </w:tcPr>
          <w:p>
            <w:pPr>
              <w:widowControl/>
              <w:jc w:val="right"/>
              <w:textAlignment w:val="cente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lang w:val="en-US" w:eastAsia="zh-CN"/>
              </w:rPr>
              <w:t xml:space="preserve"> 37,419.97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7" w:type="dxa"/>
            <w:tcBorders>
              <w:left w:val="single" w:color="auto" w:sz="4" w:space="0"/>
            </w:tcBorders>
            <w:vAlign w:val="center"/>
          </w:tcPr>
          <w:p>
            <w:pPr>
              <w:widowControl/>
              <w:jc w:val="left"/>
              <w:textAlignment w:val="center"/>
              <w:rPr>
                <w:rFonts w:hint="eastAsia" w:ascii="仿宋_GB2312" w:hAnsi="仿宋" w:eastAsia="仿宋_GB2312" w:cs="仿宋"/>
                <w:color w:val="000000"/>
                <w:kern w:val="0"/>
                <w:szCs w:val="21"/>
              </w:rPr>
            </w:pPr>
            <w:r>
              <w:rPr>
                <w:rFonts w:hint="eastAsia" w:ascii="仿宋_GB2312" w:hAnsi="仿宋" w:eastAsia="仿宋_GB2312" w:cs="仿宋"/>
                <w:color w:val="000000"/>
                <w:kern w:val="0"/>
                <w:szCs w:val="21"/>
              </w:rPr>
              <w:t>营运线路总长度（公里）</w:t>
            </w:r>
          </w:p>
        </w:tc>
        <w:tc>
          <w:tcPr>
            <w:tcW w:w="2609" w:type="dxa"/>
            <w:vAlign w:val="center"/>
          </w:tcPr>
          <w:p>
            <w:pPr>
              <w:widowControl/>
              <w:jc w:val="right"/>
              <w:textAlignment w:val="center"/>
              <w:rPr>
                <w:rFonts w:hint="eastAsia" w:ascii="仿宋_GB2312" w:eastAsia="仿宋_GB2312"/>
                <w:sz w:val="21"/>
                <w:szCs w:val="21"/>
                <w:highlight w:val="none"/>
              </w:rPr>
            </w:pPr>
            <w:r>
              <w:rPr>
                <w:rFonts w:hint="eastAsia" w:ascii="仿宋_GB2312" w:eastAsia="仿宋_GB2312"/>
                <w:sz w:val="21"/>
                <w:szCs w:val="21"/>
                <w:highlight w:val="none"/>
              </w:rPr>
              <w:t xml:space="preserve"> 8,187.20 </w:t>
            </w:r>
          </w:p>
        </w:tc>
        <w:tc>
          <w:tcPr>
            <w:tcW w:w="1375" w:type="dxa"/>
            <w:vAlign w:val="center"/>
          </w:tcPr>
          <w:p>
            <w:pPr>
              <w:widowControl/>
              <w:jc w:val="right"/>
              <w:textAlignment w:val="center"/>
              <w:rPr>
                <w:rFonts w:hint="eastAsia" w:ascii="仿宋_GB2312" w:eastAsia="仿宋_GB2312"/>
                <w:color w:val="000000"/>
                <w:kern w:val="0"/>
                <w:sz w:val="21"/>
                <w:szCs w:val="21"/>
                <w:highlight w:val="none"/>
                <w:lang w:bidi="ar"/>
              </w:rPr>
            </w:pPr>
            <w:r>
              <w:rPr>
                <w:rFonts w:hint="eastAsia" w:ascii="仿宋_GB2312" w:eastAsia="仿宋_GB2312"/>
                <w:color w:val="000000"/>
                <w:kern w:val="0"/>
                <w:sz w:val="21"/>
                <w:szCs w:val="21"/>
                <w:highlight w:val="none"/>
                <w:lang w:bidi="ar"/>
              </w:rPr>
              <w:t xml:space="preserve"> 2,850.00 </w:t>
            </w:r>
          </w:p>
        </w:tc>
        <w:tc>
          <w:tcPr>
            <w:tcW w:w="1695" w:type="dxa"/>
            <w:tcBorders>
              <w:right w:val="single" w:color="auto" w:sz="4" w:space="0"/>
            </w:tcBorders>
            <w:vAlign w:val="center"/>
          </w:tcPr>
          <w:p>
            <w:pPr>
              <w:widowControl/>
              <w:jc w:val="right"/>
              <w:textAlignment w:val="cente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lang w:val="en-US" w:eastAsia="zh-CN"/>
              </w:rPr>
              <w:t xml:space="preserve"> 11,037.20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7" w:type="dxa"/>
            <w:tcBorders>
              <w:left w:val="single" w:color="auto" w:sz="4" w:space="0"/>
            </w:tcBorders>
            <w:vAlign w:val="center"/>
          </w:tcPr>
          <w:p>
            <w:pPr>
              <w:widowControl/>
              <w:jc w:val="left"/>
              <w:textAlignment w:val="center"/>
              <w:rPr>
                <w:rFonts w:hint="eastAsia" w:ascii="仿宋_GB2312" w:hAnsi="仿宋" w:eastAsia="仿宋_GB2312" w:cs="仿宋"/>
                <w:color w:val="000000"/>
                <w:kern w:val="0"/>
                <w:szCs w:val="21"/>
              </w:rPr>
            </w:pPr>
            <w:r>
              <w:rPr>
                <w:rFonts w:hint="eastAsia" w:ascii="仿宋_GB2312" w:hAnsi="仿宋" w:eastAsia="仿宋_GB2312" w:cs="仿宋"/>
                <w:color w:val="000000"/>
                <w:kern w:val="0"/>
                <w:szCs w:val="21"/>
              </w:rPr>
              <w:t>客运人次（万人次）</w:t>
            </w:r>
          </w:p>
        </w:tc>
        <w:tc>
          <w:tcPr>
            <w:tcW w:w="2609" w:type="dxa"/>
            <w:vAlign w:val="center"/>
          </w:tcPr>
          <w:p>
            <w:pPr>
              <w:widowControl/>
              <w:jc w:val="right"/>
              <w:textAlignment w:val="center"/>
              <w:rPr>
                <w:rFonts w:hint="eastAsia" w:ascii="仿宋_GB2312" w:eastAsia="仿宋_GB2312"/>
                <w:sz w:val="21"/>
                <w:szCs w:val="21"/>
                <w:highlight w:val="none"/>
              </w:rPr>
            </w:pPr>
            <w:r>
              <w:rPr>
                <w:rFonts w:hint="eastAsia" w:ascii="仿宋_GB2312" w:eastAsia="仿宋_GB2312"/>
                <w:sz w:val="21"/>
                <w:szCs w:val="21"/>
                <w:highlight w:val="none"/>
              </w:rPr>
              <w:t xml:space="preserve"> 41,592.68 </w:t>
            </w:r>
          </w:p>
        </w:tc>
        <w:tc>
          <w:tcPr>
            <w:tcW w:w="1375" w:type="dxa"/>
            <w:vAlign w:val="center"/>
          </w:tcPr>
          <w:p>
            <w:pPr>
              <w:widowControl/>
              <w:jc w:val="right"/>
              <w:textAlignment w:val="center"/>
              <w:rPr>
                <w:rFonts w:hint="eastAsia" w:ascii="仿宋_GB2312" w:eastAsia="仿宋_GB2312"/>
                <w:color w:val="000000"/>
                <w:kern w:val="0"/>
                <w:sz w:val="21"/>
                <w:szCs w:val="21"/>
                <w:highlight w:val="none"/>
                <w:lang w:bidi="ar"/>
              </w:rPr>
            </w:pPr>
            <w:r>
              <w:rPr>
                <w:rFonts w:hint="eastAsia" w:ascii="仿宋_GB2312" w:eastAsia="仿宋_GB2312"/>
                <w:color w:val="000000"/>
                <w:kern w:val="0"/>
                <w:sz w:val="21"/>
                <w:szCs w:val="21"/>
                <w:highlight w:val="none"/>
                <w:lang w:bidi="ar"/>
              </w:rPr>
              <w:t xml:space="preserve"> 6,776.38 </w:t>
            </w:r>
          </w:p>
        </w:tc>
        <w:tc>
          <w:tcPr>
            <w:tcW w:w="1695" w:type="dxa"/>
            <w:tcBorders>
              <w:right w:val="single" w:color="auto" w:sz="4" w:space="0"/>
            </w:tcBorders>
            <w:vAlign w:val="center"/>
          </w:tcPr>
          <w:p>
            <w:pPr>
              <w:widowControl/>
              <w:jc w:val="right"/>
              <w:textAlignment w:val="cente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lang w:val="en-US" w:eastAsia="zh-CN"/>
              </w:rPr>
              <w:t xml:space="preserve"> 48,369.06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7" w:type="dxa"/>
            <w:tcBorders>
              <w:left w:val="single" w:color="auto" w:sz="4" w:space="0"/>
            </w:tcBorders>
            <w:vAlign w:val="center"/>
          </w:tcPr>
          <w:p>
            <w:pPr>
              <w:widowControl/>
              <w:jc w:val="left"/>
              <w:textAlignment w:val="center"/>
              <w:rPr>
                <w:rFonts w:hint="eastAsia" w:ascii="仿宋_GB2312" w:hAnsi="仿宋" w:eastAsia="仿宋_GB2312" w:cs="仿宋"/>
                <w:color w:val="000000"/>
                <w:kern w:val="0"/>
                <w:szCs w:val="21"/>
              </w:rPr>
            </w:pPr>
            <w:r>
              <w:rPr>
                <w:rFonts w:hint="eastAsia" w:ascii="仿宋_GB2312" w:hAnsi="仿宋" w:eastAsia="仿宋_GB2312" w:cs="仿宋"/>
                <w:color w:val="000000"/>
                <w:kern w:val="0"/>
                <w:szCs w:val="21"/>
              </w:rPr>
              <w:t>营运线路（条）</w:t>
            </w:r>
          </w:p>
        </w:tc>
        <w:tc>
          <w:tcPr>
            <w:tcW w:w="2609" w:type="dxa"/>
            <w:vAlign w:val="center"/>
          </w:tcPr>
          <w:p>
            <w:pPr>
              <w:widowControl/>
              <w:jc w:val="right"/>
              <w:textAlignment w:val="center"/>
              <w:rPr>
                <w:rFonts w:hint="eastAsia" w:ascii="仿宋_GB2312" w:eastAsia="仿宋_GB2312"/>
                <w:sz w:val="21"/>
                <w:szCs w:val="21"/>
                <w:highlight w:val="none"/>
              </w:rPr>
            </w:pPr>
            <w:r>
              <w:rPr>
                <w:rFonts w:hint="eastAsia" w:ascii="仿宋_GB2312" w:eastAsia="仿宋_GB2312"/>
                <w:sz w:val="21"/>
                <w:szCs w:val="21"/>
                <w:highlight w:val="none"/>
              </w:rPr>
              <w:t xml:space="preserve"> 495.00 </w:t>
            </w:r>
          </w:p>
        </w:tc>
        <w:tc>
          <w:tcPr>
            <w:tcW w:w="1375" w:type="dxa"/>
            <w:vAlign w:val="center"/>
          </w:tcPr>
          <w:p>
            <w:pPr>
              <w:widowControl/>
              <w:jc w:val="right"/>
              <w:textAlignment w:val="center"/>
              <w:rPr>
                <w:rFonts w:hint="eastAsia" w:ascii="仿宋_GB2312" w:eastAsia="仿宋_GB2312"/>
                <w:color w:val="000000"/>
                <w:kern w:val="0"/>
                <w:sz w:val="21"/>
                <w:szCs w:val="21"/>
                <w:highlight w:val="none"/>
                <w:lang w:bidi="ar"/>
              </w:rPr>
            </w:pPr>
            <w:r>
              <w:rPr>
                <w:rFonts w:hint="eastAsia" w:ascii="仿宋_GB2312" w:eastAsia="仿宋_GB2312"/>
                <w:color w:val="000000"/>
                <w:kern w:val="0"/>
                <w:sz w:val="21"/>
                <w:szCs w:val="21"/>
                <w:highlight w:val="none"/>
                <w:lang w:bidi="ar"/>
              </w:rPr>
              <w:t xml:space="preserve"> 198.00 </w:t>
            </w:r>
          </w:p>
        </w:tc>
        <w:tc>
          <w:tcPr>
            <w:tcW w:w="1695" w:type="dxa"/>
            <w:tcBorders>
              <w:right w:val="single" w:color="auto" w:sz="4" w:space="0"/>
            </w:tcBorders>
            <w:vAlign w:val="center"/>
          </w:tcPr>
          <w:p>
            <w:pPr>
              <w:widowControl/>
              <w:jc w:val="right"/>
              <w:textAlignment w:val="cente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lang w:val="en-US" w:eastAsia="zh-CN"/>
              </w:rPr>
              <w:t xml:space="preserve"> 693.00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7" w:type="dxa"/>
            <w:tcBorders>
              <w:left w:val="single" w:color="auto" w:sz="4" w:space="0"/>
            </w:tcBorders>
            <w:vAlign w:val="center"/>
          </w:tcPr>
          <w:p>
            <w:pPr>
              <w:widowControl/>
              <w:jc w:val="left"/>
              <w:textAlignment w:val="center"/>
              <w:rPr>
                <w:rFonts w:hint="eastAsia" w:ascii="仿宋_GB2312" w:hAnsi="仿宋" w:eastAsia="仿宋_GB2312" w:cs="仿宋"/>
                <w:color w:val="000000"/>
                <w:kern w:val="0"/>
                <w:szCs w:val="21"/>
              </w:rPr>
            </w:pPr>
            <w:r>
              <w:rPr>
                <w:rFonts w:hint="eastAsia" w:ascii="仿宋_GB2312" w:hAnsi="仿宋" w:eastAsia="仿宋_GB2312" w:cs="仿宋"/>
                <w:color w:val="000000"/>
                <w:kern w:val="0"/>
                <w:szCs w:val="21"/>
              </w:rPr>
              <w:t>营运公交车（辆）</w:t>
            </w:r>
          </w:p>
        </w:tc>
        <w:tc>
          <w:tcPr>
            <w:tcW w:w="2609" w:type="dxa"/>
            <w:vAlign w:val="center"/>
          </w:tcPr>
          <w:p>
            <w:pPr>
              <w:widowControl/>
              <w:jc w:val="right"/>
              <w:textAlignment w:val="center"/>
              <w:rPr>
                <w:rFonts w:hint="eastAsia" w:ascii="仿宋_GB2312" w:eastAsia="仿宋_GB2312"/>
                <w:sz w:val="21"/>
                <w:szCs w:val="21"/>
                <w:highlight w:val="none"/>
              </w:rPr>
            </w:pPr>
            <w:r>
              <w:rPr>
                <w:rFonts w:hint="eastAsia" w:ascii="仿宋_GB2312" w:eastAsia="仿宋_GB2312"/>
                <w:sz w:val="21"/>
                <w:szCs w:val="21"/>
                <w:highlight w:val="none"/>
              </w:rPr>
              <w:t xml:space="preserve"> 5,500.00 </w:t>
            </w:r>
          </w:p>
        </w:tc>
        <w:tc>
          <w:tcPr>
            <w:tcW w:w="1375" w:type="dxa"/>
            <w:vAlign w:val="center"/>
          </w:tcPr>
          <w:p>
            <w:pPr>
              <w:widowControl/>
              <w:jc w:val="right"/>
              <w:textAlignment w:val="center"/>
              <w:rPr>
                <w:rFonts w:hint="eastAsia" w:ascii="仿宋_GB2312" w:eastAsia="仿宋_GB2312"/>
                <w:color w:val="000000"/>
                <w:kern w:val="0"/>
                <w:sz w:val="21"/>
                <w:szCs w:val="21"/>
                <w:highlight w:val="none"/>
                <w:lang w:bidi="ar"/>
              </w:rPr>
            </w:pPr>
            <w:r>
              <w:rPr>
                <w:rFonts w:hint="eastAsia" w:ascii="仿宋_GB2312" w:eastAsia="仿宋_GB2312"/>
                <w:color w:val="000000"/>
                <w:kern w:val="0"/>
                <w:sz w:val="21"/>
                <w:szCs w:val="21"/>
                <w:highlight w:val="none"/>
                <w:lang w:bidi="ar"/>
              </w:rPr>
              <w:t xml:space="preserve"> 1,322.00 </w:t>
            </w:r>
          </w:p>
        </w:tc>
        <w:tc>
          <w:tcPr>
            <w:tcW w:w="1695" w:type="dxa"/>
            <w:tcBorders>
              <w:right w:val="single" w:color="auto" w:sz="4" w:space="0"/>
            </w:tcBorders>
            <w:vAlign w:val="center"/>
          </w:tcPr>
          <w:p>
            <w:pPr>
              <w:widowControl/>
              <w:jc w:val="right"/>
              <w:textAlignment w:val="cente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lang w:val="en-US" w:eastAsia="zh-CN"/>
              </w:rPr>
              <w:t xml:space="preserve"> 6,822.00 </w:t>
            </w:r>
          </w:p>
        </w:tc>
      </w:tr>
    </w:tbl>
    <w:p>
      <w:pPr>
        <w:keepNext/>
        <w:keepLines/>
        <w:pageBreakBefore w:val="0"/>
        <w:widowControl w:val="0"/>
        <w:kinsoku/>
        <w:wordWrap/>
        <w:overflowPunct/>
        <w:topLinePunct w:val="0"/>
        <w:autoSpaceDE/>
        <w:autoSpaceDN/>
        <w:bidi w:val="0"/>
        <w:adjustRightInd/>
        <w:snapToGrid/>
        <w:spacing w:before="157" w:beforeLines="50" w:after="0" w:line="360" w:lineRule="auto"/>
        <w:ind w:firstLine="640" w:firstLineChars="200"/>
        <w:textAlignment w:val="auto"/>
        <w:outlineLvl w:val="9"/>
        <w:rPr>
          <w:rFonts w:hint="eastAsia" w:ascii="楷体" w:hAnsi="楷体" w:eastAsia="楷体" w:cs="楷体"/>
          <w:b w:val="0"/>
          <w:bCs/>
          <w:sz w:val="32"/>
          <w:szCs w:val="32"/>
          <w:highlight w:val="yellow"/>
          <w:lang w:eastAsia="zh-CN"/>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三</w:t>
      </w:r>
      <w:r>
        <w:rPr>
          <w:rFonts w:hint="eastAsia" w:ascii="楷体" w:hAnsi="楷体" w:eastAsia="楷体" w:cs="楷体"/>
          <w:b w:val="0"/>
          <w:bCs/>
          <w:sz w:val="32"/>
          <w:szCs w:val="32"/>
          <w:highlight w:val="none"/>
          <w:lang w:eastAsia="zh-CN"/>
        </w:rPr>
        <w:t>）社会公众出行支出持续下降，乘车舒适度与便捷度同步提升</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lang w:val="en-US" w:eastAsia="zh-CN"/>
        </w:rPr>
        <w:t>南京</w:t>
      </w:r>
      <w:r>
        <w:rPr>
          <w:rFonts w:hint="eastAsia" w:ascii="仿宋_GB2312" w:eastAsia="仿宋_GB2312"/>
          <w:sz w:val="32"/>
          <w:szCs w:val="32"/>
        </w:rPr>
        <w:t>公交</w:t>
      </w:r>
      <w:r>
        <w:rPr>
          <w:rFonts w:hint="eastAsia" w:ascii="仿宋_GB2312" w:eastAsia="仿宋_GB2312"/>
          <w:sz w:val="32"/>
          <w:szCs w:val="32"/>
          <w:lang w:val="en-US" w:eastAsia="zh-CN"/>
        </w:rPr>
        <w:t>企业</w:t>
      </w:r>
      <w:r>
        <w:rPr>
          <w:rFonts w:hint="eastAsia" w:ascii="仿宋_GB2312" w:eastAsia="仿宋_GB2312"/>
          <w:sz w:val="32"/>
          <w:szCs w:val="32"/>
        </w:rPr>
        <w:t>一直积极推广移动支付和智能票务系统，采用交通部IC卡、第三方支付等，</w:t>
      </w:r>
      <w:r>
        <w:rPr>
          <w:rFonts w:hint="eastAsia" w:ascii="仿宋_GB2312" w:eastAsia="仿宋_GB2312"/>
          <w:sz w:val="32"/>
          <w:szCs w:val="32"/>
          <w:lang w:val="en-US" w:eastAsia="zh-CN"/>
        </w:rPr>
        <w:t>2024年</w:t>
      </w:r>
      <w:r>
        <w:rPr>
          <w:rFonts w:hint="eastAsia" w:ascii="仿宋_GB2312" w:eastAsia="仿宋_GB2312"/>
          <w:sz w:val="32"/>
          <w:szCs w:val="32"/>
        </w:rPr>
        <w:t>电子支付比例超过97%。202</w:t>
      </w:r>
      <w:r>
        <w:rPr>
          <w:rFonts w:hint="eastAsia" w:ascii="仿宋_GB2312" w:eastAsia="仿宋_GB2312"/>
          <w:sz w:val="32"/>
          <w:szCs w:val="32"/>
          <w:lang w:val="en-US" w:eastAsia="zh-CN"/>
        </w:rPr>
        <w:t>4</w:t>
      </w:r>
      <w:r>
        <w:rPr>
          <w:rFonts w:hint="eastAsia" w:ascii="仿宋_GB2312" w:eastAsia="仿宋_GB2312"/>
          <w:sz w:val="32"/>
          <w:szCs w:val="32"/>
        </w:rPr>
        <w:t>年，公交集团所属公交企业刷卡客运量42,281.17 万人次，东山公交刷卡客运量6,863.08万人次。</w:t>
      </w:r>
      <w:r>
        <w:rPr>
          <w:rFonts w:hint="eastAsia" w:ascii="仿宋_GB2312" w:eastAsia="仿宋_GB2312"/>
          <w:sz w:val="32"/>
          <w:szCs w:val="32"/>
          <w:highlight w:val="none"/>
        </w:rPr>
        <w:t>南京市高度重视公共交通出行的发展，不断推出各种乘车优惠政策，如学生优惠、老年人优惠、残疾人优惠等，</w:t>
      </w:r>
      <w:r>
        <w:rPr>
          <w:rFonts w:hint="eastAsia" w:ascii="仿宋_GB2312" w:eastAsia="仿宋_GB2312"/>
          <w:sz w:val="32"/>
          <w:szCs w:val="32"/>
          <w:highlight w:val="none"/>
          <w:lang w:val="en-US" w:eastAsia="zh-CN"/>
        </w:rPr>
        <w:t>通过</w:t>
      </w:r>
      <w:r>
        <w:rPr>
          <w:rFonts w:hint="eastAsia" w:ascii="仿宋_GB2312" w:eastAsia="仿宋_GB2312"/>
          <w:sz w:val="32"/>
          <w:szCs w:val="32"/>
          <w:highlight w:val="none"/>
        </w:rPr>
        <w:t>换乘优惠扩面及智能调度系统深度应用</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让更多的市民能够享受到公共交通带来的便利和实惠。同时也加大了对公共交通设施的投入，2024年，南京更新150辆新能源公交车，新车均配备了“5G+北斗”功能模块的车载智能终端，大幅提升了车辆定位与调度的精准性与实时性，为车辆发车间隔优化、减少乘客的等待时间提供了“最强辅助”，确保市民在出行过程中的等候时间和拥挤程度得到有效的改善。进一步加强了对公共交通运营企业的监管，推动提升服务质量和安全水平，加强车辆和设施的维护和更新，确保市民在乘坐公共交通工具时得到安全、舒适的出行体验。</w:t>
      </w:r>
    </w:p>
    <w:p>
      <w:pPr>
        <w:keepNext/>
        <w:keepLines/>
        <w:pageBreakBefore w:val="0"/>
        <w:widowControl w:val="0"/>
        <w:kinsoku/>
        <w:wordWrap/>
        <w:overflowPunct/>
        <w:topLinePunct w:val="0"/>
        <w:autoSpaceDE/>
        <w:autoSpaceDN/>
        <w:bidi w:val="0"/>
        <w:adjustRightInd/>
        <w:snapToGrid/>
        <w:spacing w:before="0" w:after="0" w:line="360" w:lineRule="auto"/>
        <w:ind w:firstLine="640" w:firstLineChars="200"/>
        <w:textAlignment w:val="auto"/>
        <w:outlineLvl w:val="9"/>
        <w:rPr>
          <w:rFonts w:hint="default" w:ascii="楷体" w:hAnsi="楷体" w:eastAsia="楷体" w:cs="楷体"/>
          <w:b w:val="0"/>
          <w:bCs/>
          <w:sz w:val="32"/>
          <w:szCs w:val="32"/>
          <w:highlight w:val="none"/>
          <w:lang w:val="en-US" w:eastAsia="zh-CN"/>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四</w:t>
      </w:r>
      <w:r>
        <w:rPr>
          <w:rFonts w:hint="eastAsia" w:ascii="楷体" w:hAnsi="楷体" w:eastAsia="楷体" w:cs="楷体"/>
          <w:b w:val="0"/>
          <w:bCs/>
          <w:sz w:val="32"/>
          <w:szCs w:val="32"/>
          <w:highlight w:val="none"/>
          <w:lang w:eastAsia="zh-CN"/>
        </w:rPr>
        <w:t>）持续优化公交线网，绿色出行理念实现深度内化与广泛践行</w:t>
      </w:r>
    </w:p>
    <w:p>
      <w:pPr>
        <w:spacing w:line="360" w:lineRule="auto"/>
        <w:ind w:firstLine="640" w:firstLineChars="200"/>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val="en-US" w:eastAsia="zh-CN"/>
        </w:rPr>
        <w:t>2024年，</w:t>
      </w:r>
      <w:r>
        <w:rPr>
          <w:rFonts w:hint="eastAsia" w:ascii="仿宋_GB2312" w:hAnsi="仿宋" w:eastAsia="仿宋_GB2312" w:cs="仿宋_GB2312"/>
          <w:sz w:val="32"/>
          <w:szCs w:val="32"/>
        </w:rPr>
        <w:t>南京市结合轨道交通5号线、7号线南北段开通前后、城市新建小区和保障房片区等动态调整公交线网布局，全年新辟、优化公交线路82条，如开通接驳轨道交通7号线的210路等</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实现铁路客运站和3A级以上景区公交通达率达100%。</w:t>
      </w:r>
      <w:r>
        <w:rPr>
          <w:rFonts w:hint="eastAsia" w:ascii="仿宋_GB2312" w:hAnsi="仿宋" w:eastAsia="仿宋_GB2312" w:cs="仿宋_GB2312"/>
          <w:sz w:val="32"/>
          <w:szCs w:val="32"/>
          <w:highlight w:val="none"/>
        </w:rPr>
        <w:t>公交线路的持续优化有效缓解了部分新建集聚区域市民的出行需求，在提升公交服务品质和公交运营效率的同时，随着低碳发展理念深入人心，南京市民绿色出行意识呈现系统性提升</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绿色出行效果更加显著。加快构建以轨道交通为主体，常规公交为基础，慢行交通为延伸的“三网融合、一体衔接、智慧友好、绿色安全”城市公共交通体系，围绕“轨道到站、公交到家”的服务目标，不断推动公共交通高质量发展，满足人民群众对高品质出行的向往</w:t>
      </w:r>
      <w:r>
        <w:rPr>
          <w:rFonts w:hint="eastAsia" w:ascii="仿宋_GB2312" w:hAnsi="仿宋" w:eastAsia="仿宋_GB2312" w:cs="仿宋_GB2312"/>
          <w:sz w:val="32"/>
          <w:szCs w:val="32"/>
          <w:highlight w:val="none"/>
          <w:lang w:eastAsia="zh-CN"/>
        </w:rPr>
        <w:t>。</w:t>
      </w:r>
    </w:p>
    <w:p>
      <w:pPr>
        <w:spacing w:line="360" w:lineRule="auto"/>
        <w:ind w:firstLine="640" w:firstLineChars="200"/>
        <w:outlineLvl w:val="0"/>
        <w:rPr>
          <w:rFonts w:hint="default" w:ascii="黑体" w:hAnsi="黑体" w:eastAsia="黑体"/>
          <w:sz w:val="32"/>
          <w:szCs w:val="32"/>
          <w:highlight w:val="none"/>
          <w:lang w:val="en-US" w:eastAsia="zh-CN"/>
        </w:rPr>
      </w:pPr>
      <w:bookmarkStart w:id="15" w:name="_Toc10494"/>
      <w:r>
        <w:rPr>
          <w:rFonts w:hint="eastAsia" w:ascii="黑体" w:hAnsi="黑体" w:eastAsia="黑体"/>
          <w:sz w:val="32"/>
          <w:szCs w:val="32"/>
          <w:highlight w:val="none"/>
          <w:lang w:val="en-US" w:eastAsia="zh-CN"/>
        </w:rPr>
        <w:t>四、存在问题及原因分析</w:t>
      </w:r>
      <w:bookmarkEnd w:id="15"/>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default" w:ascii="楷体" w:hAnsi="楷体" w:eastAsia="楷体" w:cs="楷体"/>
          <w:b w:val="0"/>
          <w:bCs/>
          <w:kern w:val="2"/>
          <w:sz w:val="32"/>
          <w:szCs w:val="32"/>
          <w:highlight w:val="none"/>
          <w:lang w:val="en-US" w:eastAsia="zh-CN" w:bidi="ar-SA"/>
        </w:rPr>
      </w:pPr>
      <w:r>
        <w:rPr>
          <w:rFonts w:hint="eastAsia" w:ascii="楷体" w:hAnsi="楷体" w:eastAsia="楷体" w:cs="楷体"/>
          <w:b w:val="0"/>
          <w:bCs/>
          <w:kern w:val="2"/>
          <w:sz w:val="32"/>
          <w:szCs w:val="32"/>
          <w:highlight w:val="none"/>
          <w:lang w:val="en-US" w:eastAsia="zh-CN" w:bidi="ar-SA"/>
        </w:rPr>
        <w:t>（一）公交企业运营补贴政策亟待更新以适应发展需求</w:t>
      </w:r>
    </w:p>
    <w:p>
      <w:pPr>
        <w:spacing w:line="360" w:lineRule="auto"/>
        <w:ind w:firstLine="640" w:firstLineChars="200"/>
        <w:rPr>
          <w:rFonts w:hint="default"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highlight w:val="none"/>
          <w:lang w:val="en-US" w:eastAsia="zh-CN"/>
        </w:rPr>
        <w:t>目前，公交企业运营补贴政策是根据2019年第19号市长办公会议纪要精神，在前两轮（宁政办发〔2013〕89号文、宁政办发〔2017〕31号文）公交成本规制财政补贴政策的基础上，对公交企业采用财政综合补贴的方式，建立年度财政补贴额与增收、降本改革行动计划相挂钩机制，促进公交企业改革目标实现。前两轮的补贴政策实施到2019年结束，已过期5年。宁政办发〔2017〕31号文件规定对公交企业实行“定额补贴”加“单项补贴”的财政补贴核定方式，其中“单项补贴”中的公交信息化建设补贴、中央油价补贴等已完成阶段性使命，随着行业发展与政策导向转变，上述补贴项目现已取消，之前的政策环境、补贴项目及补贴方式已不能与当前的实际情况相匹配，无法体现政策性补贴的精准性。因此不论从政策时效性还是营运环境、政策环境的变化，都需要更新公交企业运营补贴政策，出台新一轮公交企业成本规制和考核办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default" w:ascii="楷体" w:hAnsi="楷体" w:eastAsia="楷体" w:cs="楷体"/>
          <w:b w:val="0"/>
          <w:bCs/>
          <w:kern w:val="2"/>
          <w:sz w:val="32"/>
          <w:szCs w:val="32"/>
          <w:highlight w:val="none"/>
          <w:lang w:val="en-US" w:eastAsia="zh-CN" w:bidi="ar-SA"/>
        </w:rPr>
      </w:pPr>
      <w:r>
        <w:rPr>
          <w:rFonts w:hint="eastAsia" w:ascii="楷体" w:hAnsi="楷体" w:eastAsia="楷体" w:cs="楷体"/>
          <w:b w:val="0"/>
          <w:bCs/>
          <w:kern w:val="2"/>
          <w:sz w:val="32"/>
          <w:szCs w:val="32"/>
          <w:highlight w:val="none"/>
          <w:lang w:val="en-US" w:eastAsia="zh-CN" w:bidi="ar-SA"/>
        </w:rPr>
        <w:t>（二）公交企业运营补贴连续两年预拨未清算，资金管理闭环缺失引关注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黑体" w:hAnsi="黑体" w:eastAsia="黑体"/>
          <w:sz w:val="32"/>
          <w:szCs w:val="32"/>
          <w:highlight w:val="yellow"/>
          <w:lang w:val="en-US" w:eastAsia="zh-CN"/>
        </w:rPr>
      </w:pPr>
      <w:r>
        <w:rPr>
          <w:rFonts w:hint="eastAsia" w:ascii="仿宋_GB2312" w:hAnsi="仿宋" w:eastAsia="仿宋_GB2312" w:cs="仿宋_GB2312"/>
          <w:sz w:val="32"/>
          <w:szCs w:val="32"/>
          <w:highlight w:val="none"/>
          <w:lang w:val="en-US" w:eastAsia="zh-CN"/>
        </w:rPr>
        <w:t>2023年及2024年，对公交企业的运营补贴资金均采取预拨方式先行下发，以保障公交企业日常运营所需现金流。然而，连续两个年度均未按既定程序对预拨资金进行最终的清算核对工作。预拨资金是基于预算或预测拨付，未经清算，无法准确核算补贴资金的实际使用效益，难以评估财政资金投入是否精准、高效地达到了政策目标。不及时进行清算会导致预拨资金与实际应补金额之间的偏差无法及时确认和调整，资金管理闭环缺失，未能形成有效的监管闭环，降低了财政资金管理的规范性和透明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outlineLvl w:val="9"/>
        <w:rPr>
          <w:rFonts w:hint="eastAsia" w:ascii="楷体" w:hAnsi="楷体" w:eastAsia="楷体" w:cs="楷体"/>
          <w:b w:val="0"/>
          <w:bCs/>
          <w:kern w:val="2"/>
          <w:sz w:val="32"/>
          <w:szCs w:val="24"/>
          <w:highlight w:val="none"/>
          <w:lang w:val="en-US" w:eastAsia="zh-CN" w:bidi="ar-SA"/>
        </w:rPr>
      </w:pPr>
      <w:r>
        <w:rPr>
          <w:rFonts w:hint="eastAsia" w:ascii="楷体" w:hAnsi="楷体" w:eastAsia="楷体" w:cs="楷体"/>
          <w:b w:val="0"/>
          <w:bCs/>
          <w:kern w:val="2"/>
          <w:sz w:val="32"/>
          <w:szCs w:val="24"/>
          <w:highlight w:val="none"/>
          <w:lang w:val="en-US" w:eastAsia="zh-CN" w:bidi="ar-SA"/>
        </w:rPr>
        <w:t>浦口区及六合区未及时下拨公交企业运营补贴</w:t>
      </w:r>
    </w:p>
    <w:p>
      <w:pPr>
        <w:numPr>
          <w:ilvl w:val="0"/>
          <w:numId w:val="0"/>
        </w:numPr>
        <w:spacing w:line="360" w:lineRule="auto"/>
        <w:ind w:firstLine="640" w:firstLineChars="200"/>
        <w:rPr>
          <w:rFonts w:hint="default"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highlight w:val="none"/>
          <w:lang w:val="en-US" w:eastAsia="zh-CN"/>
        </w:rPr>
        <w:t>2024年公交集团本部的运营补贴专项资金由南京市财政局按期直接拨付至公交集团账户，公交集团随后按规定拨付至各巴士分公司。扬子公交、浦口公交、六合公交和东山公交的运营补贴专项资金，由南京市财政局拨付至各区财政局，各区财政局拨付至相应公交企业。经现场核查，2024年南京市财政局下拨公交企业运营补贴至浦口区财政局合计2,344.00万元、六合区财政局合计3,652.80万元，但浦口区财政局下拨至浦口公交合计1,465.00万元，六合区财政局下拨至六合公交合计3,149.00万元，分别剩余879.00万元、503.80万元于2025年1月、2月拨付至浦口公交和六合公交。</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outlineLvl w:val="9"/>
        <w:rPr>
          <w:rFonts w:hint="default" w:ascii="楷体" w:hAnsi="楷体" w:eastAsia="楷体" w:cs="楷体"/>
          <w:b w:val="0"/>
          <w:bCs/>
          <w:kern w:val="2"/>
          <w:sz w:val="32"/>
          <w:szCs w:val="24"/>
          <w:highlight w:val="none"/>
          <w:lang w:val="en-US" w:eastAsia="zh-CN" w:bidi="ar-SA"/>
        </w:rPr>
      </w:pPr>
      <w:r>
        <w:rPr>
          <w:rFonts w:hint="eastAsia" w:ascii="楷体" w:hAnsi="楷体" w:eastAsia="楷体" w:cs="楷体"/>
          <w:b w:val="0"/>
          <w:bCs/>
          <w:kern w:val="2"/>
          <w:sz w:val="32"/>
          <w:szCs w:val="24"/>
          <w:highlight w:val="none"/>
          <w:lang w:val="en-US" w:eastAsia="zh-CN" w:bidi="ar-SA"/>
        </w:rPr>
        <w:t>运营成本存在节约空间</w:t>
      </w:r>
    </w:p>
    <w:p>
      <w:pPr>
        <w:numPr>
          <w:ilvl w:val="0"/>
          <w:numId w:val="0"/>
        </w:numPr>
        <w:spacing w:line="360" w:lineRule="auto"/>
        <w:ind w:firstLine="640" w:firstLineChars="200"/>
        <w:rPr>
          <w:rFonts w:hint="eastAsia"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highlight w:val="none"/>
          <w:lang w:val="en-US" w:eastAsia="zh-CN"/>
        </w:rPr>
        <w:t>一是人员配置存在优化空间，截至2024年底公交集团本部及各公交企业期末在岗职工人数16622人，较2023年底17323人减少701人，在岗职工人数在逐年减少，但与政府要求的目标值16240人相比，尚富余382人，但驾驶员实际9430人较目标值10310少880人，人员存在结构性的余缺。二是车辆大小方面存在优化空间，截至2024年底公交集团共有各类公交车5500辆，标台车辆数6469.50辆，与标台车辆相比，自然车辆综合标台系数为1.18，自然车辆总体都比标准车辆要大，随着地铁线路的丰富以及市民出行方式的变化，公交客运量下降，公交各线路满载率降低，公交企业在车辆大小方面存在优化空间，在满足市民基本出行需求，合理降低运营成本。</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outlineLvl w:val="9"/>
        <w:rPr>
          <w:rFonts w:hint="eastAsia" w:ascii="楷体" w:hAnsi="楷体" w:eastAsia="楷体" w:cs="楷体"/>
          <w:b w:val="0"/>
          <w:bCs/>
          <w:kern w:val="2"/>
          <w:sz w:val="32"/>
          <w:szCs w:val="24"/>
          <w:highlight w:val="none"/>
          <w:lang w:val="en-US" w:eastAsia="zh-CN" w:bidi="ar-SA"/>
        </w:rPr>
      </w:pPr>
      <w:r>
        <w:rPr>
          <w:rFonts w:hint="eastAsia" w:ascii="楷体" w:hAnsi="楷体" w:eastAsia="楷体" w:cs="楷体"/>
          <w:b w:val="0"/>
          <w:bCs/>
          <w:kern w:val="2"/>
          <w:sz w:val="32"/>
          <w:szCs w:val="24"/>
          <w:highlight w:val="none"/>
          <w:lang w:val="en-US" w:eastAsia="zh-CN" w:bidi="ar-SA"/>
        </w:rPr>
        <w:t>早晚高峰时段公交运营时速及公众满意度略低于目标值</w:t>
      </w:r>
    </w:p>
    <w:p>
      <w:pPr>
        <w:numPr>
          <w:ilvl w:val="0"/>
          <w:numId w:val="0"/>
        </w:numPr>
        <w:spacing w:line="360" w:lineRule="auto"/>
        <w:ind w:firstLine="640" w:firstLineChars="200"/>
        <w:rPr>
          <w:rFonts w:hint="default"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highlight w:val="none"/>
          <w:lang w:val="en-US" w:eastAsia="zh-CN"/>
        </w:rPr>
        <w:t>2024年早晚高峰时段公共汽电车平均运营时速达标率为19.57公里/小时，略低于目标值20公里/小时；另外通过问卷调查显示，社会公众满意度达89.13%，与90%的预期目标存在小幅差距。</w:t>
      </w:r>
    </w:p>
    <w:p>
      <w:pPr>
        <w:spacing w:line="360" w:lineRule="auto"/>
        <w:ind w:firstLine="640" w:firstLineChars="200"/>
        <w:outlineLvl w:val="0"/>
        <w:rPr>
          <w:rFonts w:hint="default" w:ascii="黑体" w:hAnsi="黑体" w:eastAsia="黑体"/>
          <w:sz w:val="32"/>
          <w:szCs w:val="32"/>
          <w:highlight w:val="none"/>
          <w:lang w:val="en-US" w:eastAsia="zh-CN"/>
        </w:rPr>
      </w:pPr>
      <w:bookmarkStart w:id="16" w:name="_Toc18132"/>
      <w:r>
        <w:rPr>
          <w:rFonts w:hint="eastAsia" w:ascii="黑体" w:hAnsi="黑体" w:eastAsia="黑体"/>
          <w:sz w:val="32"/>
          <w:szCs w:val="32"/>
          <w:highlight w:val="none"/>
          <w:lang w:val="en-US" w:eastAsia="zh-CN"/>
        </w:rPr>
        <w:t>五、有关建议</w:t>
      </w:r>
      <w:bookmarkEnd w:id="1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default" w:ascii="楷体" w:hAnsi="楷体" w:eastAsia="楷体" w:cs="楷体"/>
          <w:b w:val="0"/>
          <w:bCs/>
          <w:kern w:val="2"/>
          <w:sz w:val="32"/>
          <w:szCs w:val="24"/>
          <w:highlight w:val="none"/>
          <w:lang w:val="en-US" w:eastAsia="zh-CN" w:bidi="ar-SA"/>
        </w:rPr>
      </w:pPr>
      <w:r>
        <w:rPr>
          <w:rFonts w:hint="eastAsia" w:ascii="楷体" w:hAnsi="楷体" w:eastAsia="楷体" w:cs="楷体"/>
          <w:b w:val="0"/>
          <w:bCs/>
          <w:kern w:val="2"/>
          <w:sz w:val="32"/>
          <w:szCs w:val="24"/>
          <w:highlight w:val="none"/>
          <w:lang w:val="en-US" w:eastAsia="zh-CN" w:bidi="ar-SA"/>
        </w:rPr>
        <w:t>（一）尽快出台新的公交企业运营补贴政策</w:t>
      </w:r>
    </w:p>
    <w:p>
      <w:p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当前公交行业面临运营成本攀升、新能源车辆更新压力增大、智慧化升级需求迫切等挑战，而现有运营补贴政策因长期未更新，已难以满足行业发展需求。为保障公交企业持续稳定运营，推动城市公共交通高质量发展，亟需尽快出台新的公交企业运营补贴政策。新政策应聚焦行业痛点，考虑新能源车辆运营、智能调度系统建设、绿色低碳线路拓展等影响因素，明确政策性亏损与经营性亏损，完善公交企业考核体系，建立科学规范的公交企业监督考核机制，激励企业降本提质增效，并优化资金拨付方式，对预拨资金实施科学清算，确保补贴精准高效落地，助力公交企业提升服务水平，增强可持续发展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eastAsia="仿宋_GB2312"/>
          <w:sz w:val="32"/>
          <w:szCs w:val="32"/>
          <w:lang w:val="en-US" w:eastAsia="zh-CN"/>
        </w:rPr>
      </w:pPr>
      <w:r>
        <w:rPr>
          <w:rFonts w:hint="eastAsia" w:ascii="楷体" w:hAnsi="楷体" w:eastAsia="楷体" w:cs="楷体"/>
          <w:b w:val="0"/>
          <w:bCs/>
          <w:kern w:val="2"/>
          <w:sz w:val="32"/>
          <w:szCs w:val="24"/>
          <w:highlight w:val="none"/>
          <w:lang w:val="en-US" w:eastAsia="zh-CN" w:bidi="ar-SA"/>
        </w:rPr>
        <w:t>（二）及时对公交企业运营补贴进行清算，实现资金闭环管理</w:t>
      </w:r>
    </w:p>
    <w:p>
      <w:pPr>
        <w:numPr>
          <w:ilvl w:val="0"/>
          <w:numId w:val="0"/>
        </w:numPr>
        <w:spacing w:line="360" w:lineRule="auto"/>
        <w:ind w:firstLine="640" w:firstLineChars="200"/>
        <w:rPr>
          <w:rFonts w:hint="eastAsia" w:ascii="仿宋_GB2312" w:eastAsia="仿宋_GB2312"/>
          <w:sz w:val="32"/>
          <w:szCs w:val="32"/>
          <w:highlight w:val="yellow"/>
          <w:lang w:val="en-US" w:eastAsia="zh-CN"/>
        </w:rPr>
      </w:pPr>
      <w:r>
        <w:rPr>
          <w:rFonts w:hint="eastAsia" w:ascii="仿宋_GB2312" w:eastAsia="仿宋_GB2312"/>
          <w:sz w:val="32"/>
          <w:szCs w:val="32"/>
          <w:highlight w:val="none"/>
          <w:lang w:val="en-US" w:eastAsia="zh-CN"/>
        </w:rPr>
        <w:t>为强化财政资金监管效能，提升公交运营补贴使用精准度，每年应及时对公交企业运营补贴进行清算，实现资金闭环管理。每年应由财政、交通、审计等多部门组建联合清算工作组，对公交企业申报的各项运营数据进行交叉核验，精准核算补贴资金使用情况。对预拨资金与实际应补金额的差额，及时开展追缴或补发工作，确保补贴资金流向清晰、使用规范，切实发挥政策对公交行业高质量发展的支持作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楷体" w:hAnsi="楷体" w:eastAsia="楷体" w:cs="楷体"/>
          <w:b w:val="0"/>
          <w:bCs/>
          <w:kern w:val="2"/>
          <w:sz w:val="32"/>
          <w:szCs w:val="24"/>
          <w:highlight w:val="none"/>
          <w:lang w:val="en-US" w:eastAsia="zh-CN" w:bidi="ar-SA"/>
        </w:rPr>
      </w:pPr>
      <w:r>
        <w:rPr>
          <w:rFonts w:hint="eastAsia" w:ascii="楷体" w:hAnsi="楷体" w:eastAsia="楷体" w:cs="楷体"/>
          <w:b w:val="0"/>
          <w:bCs/>
          <w:kern w:val="2"/>
          <w:sz w:val="32"/>
          <w:szCs w:val="24"/>
          <w:highlight w:val="none"/>
          <w:lang w:val="en-US" w:eastAsia="zh-CN" w:bidi="ar-SA"/>
        </w:rPr>
        <w:t>（三）各区财政应及时拨付公交企业运营补贴资金</w:t>
      </w:r>
    </w:p>
    <w:p>
      <w:pPr>
        <w:numPr>
          <w:ilvl w:val="0"/>
          <w:numId w:val="0"/>
        </w:numPr>
        <w:spacing w:line="360" w:lineRule="auto"/>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城市公交作为重要的公益性民生服务，票价受政府严格管控，长期处于低定价状态。近年来，随着地铁线路的丰富，网约车、共享单车等新型出行方式分流客源，市民出行选择日益多元化，叠加物价上涨、车辆设备更新维护成本攀升等因素，公交企业运营压力持续加大，连年陷入亏损困境。公交企业的稳定运营不仅关系市民日常出行便利，更是落实绿色低碳出行、促进城市可持续发展的重要保障。若亏损缺口无法通过政府补贴及时足额填补，企业将面临资金链紧张、车辆更新滞后、服务质量下滑等难题，严重制约行业长远发展。因此，各区财政部门须严格遵循资金管理相关规定，强化全过程监管，杜绝资金截留、挪用等违规行为，确保运营补贴按政策要求及时足额拨付到位，为我市地面公共交通事业高质量发展筑牢坚实保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楷体" w:hAnsi="楷体" w:eastAsia="楷体" w:cs="楷体"/>
          <w:b w:val="0"/>
          <w:bCs/>
          <w:kern w:val="2"/>
          <w:sz w:val="32"/>
          <w:szCs w:val="24"/>
          <w:highlight w:val="none"/>
          <w:lang w:val="en-US" w:eastAsia="zh-CN" w:bidi="ar-SA"/>
        </w:rPr>
      </w:pPr>
      <w:r>
        <w:rPr>
          <w:rFonts w:hint="eastAsia" w:ascii="楷体" w:hAnsi="楷体" w:eastAsia="楷体" w:cs="楷体"/>
          <w:b w:val="0"/>
          <w:bCs/>
          <w:kern w:val="2"/>
          <w:sz w:val="32"/>
          <w:szCs w:val="24"/>
          <w:highlight w:val="none"/>
          <w:lang w:val="en-US" w:eastAsia="zh-CN" w:bidi="ar-SA"/>
        </w:rPr>
        <w:t>（四）优化人员、车辆配置，降低运营成本</w:t>
      </w:r>
    </w:p>
    <w:p>
      <w:pPr>
        <w:numPr>
          <w:ilvl w:val="0"/>
          <w:numId w:val="0"/>
        </w:numPr>
        <w:spacing w:line="360" w:lineRule="auto"/>
        <w:ind w:firstLine="640" w:firstLineChars="200"/>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为有效破解公交企业运营困局，建议公交集团以深化改革为突破口，构建市场化运营机制。通过动态监测市民出行需求变化、客流分布规律及交通拥堵指数，科学调配车辆投放数量与运营时段，引入智能调度系统实现运力资源精准匹配；同时，结合企业实际业务需求，通过末位淘汰、转岗培训等方式优化人员结构，削减冗余岗位，培育复合型人才队伍；此外，对车辆能耗、维修保养、人力成本等进行精细化管控，多维度压缩运营成本，全面提升企业运营效率与市场竞争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default" w:ascii="楷体" w:hAnsi="楷体" w:eastAsia="楷体" w:cs="楷体"/>
          <w:b w:val="0"/>
          <w:bCs/>
          <w:kern w:val="2"/>
          <w:sz w:val="32"/>
          <w:szCs w:val="24"/>
          <w:highlight w:val="none"/>
          <w:lang w:val="en-US" w:eastAsia="zh-CN" w:bidi="ar-SA"/>
        </w:rPr>
      </w:pPr>
      <w:r>
        <w:rPr>
          <w:rFonts w:hint="eastAsia" w:ascii="楷体" w:hAnsi="楷体" w:eastAsia="楷体" w:cs="楷体"/>
          <w:b w:val="0"/>
          <w:bCs/>
          <w:kern w:val="2"/>
          <w:sz w:val="32"/>
          <w:szCs w:val="24"/>
          <w:highlight w:val="none"/>
          <w:lang w:val="en-US" w:eastAsia="zh-CN" w:bidi="ar-SA"/>
        </w:rPr>
        <w:t>（五）提高运营效率，提升公众满意度</w:t>
      </w:r>
    </w:p>
    <w:p>
      <w:pPr>
        <w:numPr>
          <w:ilvl w:val="0"/>
          <w:numId w:val="0"/>
        </w:numPr>
        <w:spacing w:line="360" w:lineRule="auto"/>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结合高峰时段交通流量数据，优化线路规划与站点设置，减少非必要停靠，提高早晚高峰时段公共汽电车平均运营时速，力争缩小时速与目标值的差距。在服务质量优化上，聚焦候车时长、车厢环境、准点率等公众核心诉求，加强司机服务培训，完善实时到站信息公示，通过针对性改进增强公众出行体验，逐步提升满意度至目标水平。</w:t>
      </w:r>
    </w:p>
    <w:p>
      <w:pPr>
        <w:spacing w:line="360" w:lineRule="auto"/>
        <w:ind w:firstLine="640" w:firstLineChars="200"/>
        <w:outlineLvl w:val="0"/>
        <w:rPr>
          <w:rFonts w:hint="default" w:ascii="黑体" w:hAnsi="黑体" w:eastAsia="黑体"/>
          <w:sz w:val="32"/>
          <w:szCs w:val="32"/>
          <w:lang w:val="en-US" w:eastAsia="zh-CN"/>
        </w:rPr>
      </w:pPr>
      <w:bookmarkStart w:id="17" w:name="_Toc14856"/>
      <w:r>
        <w:rPr>
          <w:rFonts w:hint="eastAsia" w:ascii="黑体" w:hAnsi="黑体" w:eastAsia="黑体"/>
          <w:sz w:val="32"/>
          <w:szCs w:val="32"/>
          <w:lang w:val="en-US" w:eastAsia="zh-CN"/>
        </w:rPr>
        <w:t>六、评价工作开展情况及其他需说明的情况</w:t>
      </w:r>
      <w:bookmarkEnd w:id="17"/>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1"/>
        <w:rPr>
          <w:rFonts w:hint="default" w:ascii="楷体" w:hAnsi="楷体" w:eastAsia="楷体" w:cs="楷体"/>
          <w:b w:val="0"/>
          <w:bCs/>
          <w:kern w:val="2"/>
          <w:sz w:val="32"/>
          <w:szCs w:val="24"/>
          <w:highlight w:val="none"/>
          <w:lang w:val="en-US" w:eastAsia="zh-CN" w:bidi="ar-SA"/>
        </w:rPr>
      </w:pPr>
      <w:bookmarkStart w:id="18" w:name="_Toc4346"/>
      <w:r>
        <w:rPr>
          <w:rFonts w:hint="eastAsia" w:ascii="楷体" w:hAnsi="楷体" w:eastAsia="楷体" w:cs="楷体"/>
          <w:b w:val="0"/>
          <w:bCs/>
          <w:kern w:val="2"/>
          <w:sz w:val="32"/>
          <w:szCs w:val="24"/>
          <w:highlight w:val="none"/>
          <w:lang w:val="en-US" w:eastAsia="zh-CN" w:bidi="ar-SA"/>
        </w:rPr>
        <w:t>（一）绩效评价工作情况</w:t>
      </w:r>
      <w:bookmarkEnd w:id="18"/>
    </w:p>
    <w:p>
      <w:pPr>
        <w:spacing w:line="360" w:lineRule="auto"/>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1.评价思路及方法</w:t>
      </w:r>
    </w:p>
    <w:p>
      <w:p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本次评价通过指标设计、数据采集、现场核查、数据汇总分析、报告撰写等步骤完成。其中：指标主要结合相关部门职能、年度重点任务以及中长期规划等有关文件进行设计；数据采集通过实地考察、访谈、问卷调查等形式实现，采集具有代表性与广泛性的数据，支撑指标体系的评分，进而实现客观科学的评价。 </w:t>
      </w:r>
    </w:p>
    <w:p>
      <w:pPr>
        <w:spacing w:line="360" w:lineRule="auto"/>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本次评价采用比较法、因素分析法等方法，同时通过文献资料搜索、多因素分析来支撑评价的逻辑紧密性与客观性。指标制定上坚持定量优先、以定量与定性相结合，始终遵循科学规范、公正公开、分级分类、绩效相关的基本原则。</w:t>
      </w:r>
    </w:p>
    <w:p>
      <w:pPr>
        <w:numPr>
          <w:ilvl w:val="0"/>
          <w:numId w:val="0"/>
        </w:numPr>
        <w:spacing w:line="360" w:lineRule="auto"/>
        <w:ind w:firstLine="643" w:firstLineChars="200"/>
        <w:rPr>
          <w:rFonts w:hint="eastAsia" w:ascii="仿宋_GB2312" w:eastAsia="仿宋_GB2312"/>
          <w:sz w:val="32"/>
          <w:szCs w:val="32"/>
          <w:highlight w:val="none"/>
          <w:lang w:val="en-US" w:eastAsia="zh-CN"/>
        </w:rPr>
      </w:pPr>
      <w:r>
        <w:rPr>
          <w:rFonts w:hint="eastAsia" w:ascii="仿宋_GB2312" w:eastAsia="仿宋_GB2312"/>
          <w:b/>
          <w:bCs/>
          <w:sz w:val="32"/>
          <w:szCs w:val="32"/>
          <w:highlight w:val="none"/>
          <w:lang w:val="en-US" w:eastAsia="zh-CN"/>
        </w:rPr>
        <w:t>2.评价组织与分工</w:t>
      </w:r>
    </w:p>
    <w:p>
      <w:pPr>
        <w:numPr>
          <w:ilvl w:val="0"/>
          <w:numId w:val="0"/>
        </w:num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本次项目绩效评价工作</w:t>
      </w:r>
      <w:r>
        <w:rPr>
          <w:rFonts w:hint="eastAsia" w:ascii="仿宋_GB2312" w:eastAsia="仿宋_GB2312"/>
          <w:sz w:val="32"/>
          <w:szCs w:val="32"/>
          <w:highlight w:val="none"/>
          <w:lang w:val="en-US" w:eastAsia="zh-CN"/>
        </w:rPr>
        <w:t>由组长、主评人、组员</w:t>
      </w:r>
      <w:bookmarkStart w:id="25" w:name="_GoBack"/>
      <w:bookmarkEnd w:id="25"/>
      <w:r>
        <w:rPr>
          <w:rFonts w:hint="eastAsia" w:ascii="仿宋_GB2312" w:eastAsia="仿宋_GB2312"/>
          <w:sz w:val="32"/>
          <w:szCs w:val="32"/>
          <w:highlight w:val="none"/>
          <w:lang w:val="en-US" w:eastAsia="zh-CN"/>
        </w:rPr>
        <w:t>组成</w:t>
      </w:r>
      <w:r>
        <w:rPr>
          <w:rFonts w:hint="eastAsia" w:ascii="仿宋_GB2312" w:eastAsia="仿宋_GB2312"/>
          <w:sz w:val="32"/>
          <w:szCs w:val="32"/>
          <w:lang w:val="en-US" w:eastAsia="zh-CN"/>
        </w:rPr>
        <w:t>，涵盖财务、业务管理等领域专业人员，具体如下：</w:t>
      </w:r>
    </w:p>
    <w:p>
      <w:pPr>
        <w:numPr>
          <w:ilvl w:val="0"/>
          <w:numId w:val="0"/>
        </w:num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highlight w:val="none"/>
          <w:lang w:val="en-US" w:eastAsia="zh-CN"/>
        </w:rPr>
        <w:t>评价组长</w:t>
      </w:r>
      <w:r>
        <w:rPr>
          <w:rFonts w:hint="eastAsia" w:ascii="仿宋_GB2312" w:eastAsia="仿宋_GB2312"/>
          <w:sz w:val="32"/>
          <w:szCs w:val="32"/>
          <w:lang w:val="en-US" w:eastAsia="zh-CN"/>
        </w:rPr>
        <w:t>主要职责为全面负责项目绩效评价工作的规划与组织，制定评价工作的整体方案，明确评价目标、评价周期、评价方法及流程，确保评价工作有序推进。协调评价过程中所需的各类资源，对评价工作的全过程进行监督与指导，把控评价质量，最终审定绩效评价报告。</w:t>
      </w:r>
    </w:p>
    <w:p>
      <w:pPr>
        <w:numPr>
          <w:ilvl w:val="0"/>
          <w:numId w:val="0"/>
        </w:num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highlight w:val="none"/>
          <w:lang w:val="en-US" w:eastAsia="zh-CN"/>
        </w:rPr>
        <w:t>主评人</w:t>
      </w:r>
      <w:r>
        <w:rPr>
          <w:rFonts w:hint="eastAsia" w:ascii="仿宋_GB2312" w:eastAsia="仿宋_GB2312"/>
          <w:sz w:val="32"/>
          <w:szCs w:val="32"/>
          <w:lang w:val="en-US" w:eastAsia="zh-CN"/>
        </w:rPr>
        <w:t>主要职责为主导项目绩效评价指标体系的设计、修订与完善工作，运用专业的数据分析方法和工具，对数据进行深入分析和处理，组织开展绩效评价的具体实施工作，指导评价组成员按照评价标准和流程进行评分，根据数据分析结果和评价情况，撰写部门整体绩效评价报告。</w:t>
      </w:r>
    </w:p>
    <w:p>
      <w:pPr>
        <w:numPr>
          <w:ilvl w:val="0"/>
          <w:numId w:val="0"/>
        </w:numPr>
        <w:spacing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highlight w:val="none"/>
          <w:lang w:val="en-US" w:eastAsia="zh-CN"/>
        </w:rPr>
        <w:t>评价组员</w:t>
      </w:r>
      <w:r>
        <w:rPr>
          <w:rFonts w:hint="eastAsia" w:ascii="仿宋_GB2312" w:eastAsia="仿宋_GB2312"/>
          <w:sz w:val="32"/>
          <w:szCs w:val="32"/>
          <w:lang w:val="en-US" w:eastAsia="zh-CN"/>
        </w:rPr>
        <w:t>主要职责为协助主评人设计与项目相关的绩效评价指标，参与绩效评价的现场调研与数据收集工作，负责评价工作的资料收集、整理与归档工作。</w:t>
      </w:r>
    </w:p>
    <w:p>
      <w:pPr>
        <w:numPr>
          <w:ilvl w:val="0"/>
          <w:numId w:val="0"/>
        </w:numPr>
        <w:spacing w:line="360" w:lineRule="auto"/>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3.评价过程</w:t>
      </w:r>
    </w:p>
    <w:p>
      <w:pPr>
        <w:numPr>
          <w:ilvl w:val="0"/>
          <w:numId w:val="0"/>
        </w:num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本次绩效评价通过前期准备、组织实施、综合评价三个阶段实施具体的评价工作。</w:t>
      </w:r>
    </w:p>
    <w:p>
      <w:pPr>
        <w:numPr>
          <w:ilvl w:val="0"/>
          <w:numId w:val="0"/>
        </w:num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1.前期准备阶段（2025年5月22日至5月26日）</w:t>
      </w:r>
    </w:p>
    <w:p>
      <w:pPr>
        <w:numPr>
          <w:ilvl w:val="0"/>
          <w:numId w:val="0"/>
        </w:num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组建绩效评价小组，进入项目实施单位，开展调查研究、分析论证并形成绩效评价工作方案。同时，搜集有关文件资料，结合项目的实际情况，设计了基础报表体系，为后期的数据获取、现场核查做了充分的准备。</w:t>
      </w:r>
    </w:p>
    <w:p>
      <w:pPr>
        <w:numPr>
          <w:ilvl w:val="0"/>
          <w:numId w:val="0"/>
        </w:num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2.组织实施阶段（2025年5月29日至6月10日）</w:t>
      </w:r>
    </w:p>
    <w:p>
      <w:pPr>
        <w:numPr>
          <w:ilvl w:val="0"/>
          <w:numId w:val="0"/>
        </w:num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对项目实施情况进行核查，核查内容包括绩效评价基础表数据的收集核对、项目资金的使用情况、项目组织管理情况、绩效目标的完成情况，项目的投入产出以及效益等方面的内容。</w:t>
      </w:r>
    </w:p>
    <w:p>
      <w:pPr>
        <w:numPr>
          <w:ilvl w:val="0"/>
          <w:numId w:val="0"/>
        </w:num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3.综合评价阶段（2025年6月11日至6月20日）</w:t>
      </w:r>
    </w:p>
    <w:p>
      <w:pPr>
        <w:numPr>
          <w:ilvl w:val="0"/>
          <w:numId w:val="0"/>
        </w:num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整理分析获取的基础数据、调查问卷等资料，依据制定的评价标准进行了评价指标打分，以定量和定性相结合的评价方法完成绩效评价报告。</w:t>
      </w:r>
    </w:p>
    <w:p>
      <w:pPr>
        <w:numPr>
          <w:ilvl w:val="0"/>
          <w:numId w:val="0"/>
        </w:numPr>
        <w:spacing w:line="360" w:lineRule="auto"/>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4.评价指标体系</w:t>
      </w:r>
    </w:p>
    <w:p>
      <w:pPr>
        <w:numPr>
          <w:ilvl w:val="0"/>
          <w:numId w:val="0"/>
        </w:num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本次绩效评价指标体系分为三级指标。一级指标包括决策、过程、产出、效益及满意度五大部分。采用定性和定量相结合的方式，</w:t>
      </w:r>
      <w:r>
        <w:rPr>
          <w:rFonts w:hint="eastAsia" w:ascii="仿宋_GB2312" w:eastAsia="仿宋_GB2312"/>
          <w:sz w:val="32"/>
          <w:szCs w:val="32"/>
          <w:highlight w:val="none"/>
          <w:lang w:val="en-US" w:eastAsia="zh-CN"/>
        </w:rPr>
        <w:t>向下分解细化为12个二级指标，28个三级指标，并按照各项</w:t>
      </w:r>
      <w:r>
        <w:rPr>
          <w:rFonts w:hint="eastAsia" w:ascii="仿宋_GB2312" w:eastAsia="仿宋_GB2312"/>
          <w:sz w:val="32"/>
          <w:szCs w:val="32"/>
          <w:lang w:val="en-US" w:eastAsia="zh-CN"/>
        </w:rPr>
        <w:t>指标考察的范围和重要性设置不同的标准值和权重值，形成了本次绩效评价的指标体系。详情见附件《2024年南京市交通运输局公交企业运营补贴专项资金绩效评价综合评分表》。</w:t>
      </w:r>
    </w:p>
    <w:p>
      <w:pPr>
        <w:numPr>
          <w:ilvl w:val="0"/>
          <w:numId w:val="0"/>
        </w:numPr>
        <w:spacing w:line="360" w:lineRule="auto"/>
        <w:ind w:firstLine="643" w:firstLineChars="200"/>
        <w:rPr>
          <w:rFonts w:hint="eastAsia" w:ascii="仿宋_GB2312" w:eastAsia="仿宋_GB2312"/>
          <w:b/>
          <w:bCs/>
          <w:sz w:val="32"/>
          <w:szCs w:val="32"/>
          <w:highlight w:val="none"/>
          <w:lang w:val="en-US" w:eastAsia="zh-CN"/>
        </w:rPr>
      </w:pPr>
      <w:r>
        <w:rPr>
          <w:rFonts w:hint="eastAsia" w:ascii="仿宋_GB2312" w:eastAsia="仿宋_GB2312"/>
          <w:b/>
          <w:bCs/>
          <w:sz w:val="32"/>
          <w:szCs w:val="32"/>
          <w:highlight w:val="none"/>
          <w:lang w:val="en-US" w:eastAsia="zh-CN"/>
        </w:rPr>
        <w:t>5.评价依据</w:t>
      </w:r>
    </w:p>
    <w:p>
      <w:pPr>
        <w:numPr>
          <w:ilvl w:val="0"/>
          <w:numId w:val="0"/>
        </w:num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（1）《南京市公交改革与发展五年（2011-2015年）行动计划》（宁政发〔2011〕270号）</w:t>
      </w:r>
    </w:p>
    <w:p>
      <w:pPr>
        <w:numPr>
          <w:ilvl w:val="0"/>
          <w:numId w:val="0"/>
        </w:num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（2）《关于同意对南京市公共交通总公司实施公司制改制的批复》（宁国资委企〔2012〕162号）</w:t>
      </w:r>
    </w:p>
    <w:p>
      <w:pPr>
        <w:numPr>
          <w:ilvl w:val="0"/>
          <w:numId w:val="0"/>
        </w:num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（3）《市政府办公厅关于转发市财政局市交通运输局南京市公共汽车经营企业财政综合补贴资金管理办法的通知》（宁政办发〔2013〕86号）</w:t>
      </w:r>
    </w:p>
    <w:p>
      <w:pPr>
        <w:numPr>
          <w:ilvl w:val="0"/>
          <w:numId w:val="0"/>
        </w:num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（4）《市政府办公厅关于转发市交通运输局市财政局南京市公共汽车经营企业成本规制管理办法的通知》（宁政办发〔2013〕89号）</w:t>
      </w:r>
    </w:p>
    <w:p>
      <w:pPr>
        <w:numPr>
          <w:ilvl w:val="0"/>
          <w:numId w:val="0"/>
        </w:num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（5）《南京市人民政府办公厅转发市财政局关于完善公交企业成本规制财政补贴实施方案的通知》（宁政办发〔2017〕31号）</w:t>
      </w:r>
    </w:p>
    <w:p>
      <w:pPr>
        <w:numPr>
          <w:ilvl w:val="0"/>
          <w:numId w:val="0"/>
        </w:num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（6）《南京市公交企业运营服务绩效考核办法》（宁交客〔2017〕543号）</w:t>
      </w:r>
    </w:p>
    <w:p>
      <w:pPr>
        <w:numPr>
          <w:ilvl w:val="0"/>
          <w:numId w:val="0"/>
        </w:num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（7）2019年第19号市长办公会议纪要</w:t>
      </w:r>
    </w:p>
    <w:p>
      <w:pPr>
        <w:numPr>
          <w:ilvl w:val="0"/>
          <w:numId w:val="0"/>
        </w:num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（8）《南京市市级财政预算绩效评价操作规程（试行）》（宁财绩〔2020〕260号）</w:t>
      </w:r>
    </w:p>
    <w:p>
      <w:pPr>
        <w:numPr>
          <w:ilvl w:val="0"/>
          <w:numId w:val="0"/>
        </w:num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（9）《市政府关于印发南京市市级财政专项资金管理办法的通知》（宁政发〔2021〕118号）</w:t>
      </w:r>
    </w:p>
    <w:p>
      <w:pPr>
        <w:numPr>
          <w:ilvl w:val="0"/>
          <w:numId w:val="0"/>
        </w:num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（10）《南京市市级预算绩效管理办法》(宁委办厅字〔2024〕2号)</w:t>
      </w:r>
    </w:p>
    <w:p>
      <w:pPr>
        <w:numPr>
          <w:ilvl w:val="0"/>
          <w:numId w:val="0"/>
        </w:num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（11）《关于提前下达2024年公交企业市级财政定额补贴资金指标的通知》（宁财企〔2023〕381号）</w:t>
      </w:r>
    </w:p>
    <w:p>
      <w:pPr>
        <w:numPr>
          <w:ilvl w:val="0"/>
          <w:numId w:val="0"/>
        </w:num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（12）《关于调整2024年公交企业市级财政定额补贴资金的通知》（宁财企〔2024〕285号）</w:t>
      </w:r>
    </w:p>
    <w:p>
      <w:pPr>
        <w:numPr>
          <w:ilvl w:val="0"/>
          <w:numId w:val="0"/>
        </w:num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（13）相关行业政策、行业标准及专业技术规范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1"/>
        <w:rPr>
          <w:rFonts w:hint="default" w:ascii="楷体" w:hAnsi="楷体" w:eastAsia="楷体" w:cs="楷体"/>
          <w:b w:val="0"/>
          <w:bCs/>
          <w:kern w:val="2"/>
          <w:sz w:val="32"/>
          <w:szCs w:val="24"/>
          <w:highlight w:val="none"/>
          <w:lang w:val="en-US" w:eastAsia="zh-CN" w:bidi="ar-SA"/>
        </w:rPr>
      </w:pPr>
      <w:bookmarkStart w:id="19" w:name="_Toc30312"/>
      <w:r>
        <w:rPr>
          <w:rFonts w:hint="eastAsia" w:ascii="楷体" w:hAnsi="楷体" w:eastAsia="楷体" w:cs="楷体"/>
          <w:b w:val="0"/>
          <w:bCs/>
          <w:kern w:val="2"/>
          <w:sz w:val="32"/>
          <w:szCs w:val="24"/>
          <w:highlight w:val="none"/>
          <w:lang w:val="en-US" w:eastAsia="zh-CN" w:bidi="ar-SA"/>
        </w:rPr>
        <w:t>（二）绩效分析</w:t>
      </w:r>
      <w:bookmarkEnd w:id="19"/>
    </w:p>
    <w:p>
      <w:pPr>
        <w:spacing w:line="360" w:lineRule="auto"/>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1.决策指标分析</w:t>
      </w:r>
    </w:p>
    <w:p>
      <w:pPr>
        <w:spacing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项目决策指标方面，决策指标的权重值为13分，实际得分12.66分，得分率为97.38%。该类指标主要从项目立项、绩效目标、资金投入三个方面进行评分。其中，项目立项指标的权重值为4分，实际得分4分，得分率为100%；绩效目标指标的权重值为4分，实际得分4分，得分率为100%；资金投入指标的权重值为5分，实际得分4.66分，得分率为93.20%，扣分主要由于项目实施过程中，预算调整幅度超10%。</w:t>
      </w:r>
    </w:p>
    <w:p>
      <w:pPr>
        <w:numPr>
          <w:ilvl w:val="0"/>
          <w:numId w:val="0"/>
        </w:numPr>
        <w:spacing w:line="360" w:lineRule="auto"/>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2.过程指标分析</w:t>
      </w:r>
    </w:p>
    <w:p>
      <w:pPr>
        <w:spacing w:line="360" w:lineRule="auto"/>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lang w:val="en-US" w:eastAsia="zh-CN"/>
        </w:rPr>
        <w:t>项目过程指标方面，过程指标的权重值为22分，实际得分14分，得分率为63.64%。该类指标主要从资金管理、组织实施两个方面进行评分。其中，资金管理指标的权重值为10分，实际得分8分，得分率为80%，</w:t>
      </w:r>
      <w:r>
        <w:rPr>
          <w:rFonts w:hint="eastAsia" w:ascii="仿宋_GB2312" w:eastAsia="仿宋_GB2312"/>
          <w:sz w:val="32"/>
          <w:szCs w:val="32"/>
          <w:highlight w:val="none"/>
          <w:lang w:val="en-US" w:eastAsia="zh-CN"/>
        </w:rPr>
        <w:t>扣分主要由于浦口区和六合区财政局未及时下拨补助资金；</w:t>
      </w:r>
      <w:r>
        <w:rPr>
          <w:rFonts w:hint="eastAsia" w:ascii="仿宋_GB2312" w:eastAsia="仿宋_GB2312"/>
          <w:sz w:val="32"/>
          <w:szCs w:val="32"/>
          <w:lang w:val="en-US" w:eastAsia="zh-CN"/>
        </w:rPr>
        <w:t>组织实施指标的权重值为12分，实际得分6分，得分率为50%，</w:t>
      </w:r>
      <w:r>
        <w:rPr>
          <w:rFonts w:hint="eastAsia" w:ascii="仿宋_GB2312" w:eastAsia="仿宋_GB2312"/>
          <w:sz w:val="32"/>
          <w:szCs w:val="32"/>
          <w:highlight w:val="none"/>
          <w:lang w:val="en-US" w:eastAsia="zh-CN"/>
        </w:rPr>
        <w:t>扣分主要由于项目补贴政策未及时更新。</w:t>
      </w:r>
    </w:p>
    <w:p>
      <w:pPr>
        <w:numPr>
          <w:ilvl w:val="0"/>
          <w:numId w:val="0"/>
        </w:numPr>
        <w:spacing w:line="360" w:lineRule="auto"/>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3.产出指标分析</w:t>
      </w:r>
    </w:p>
    <w:p>
      <w:pPr>
        <w:spacing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项目产出指标方面，产出指标的权重值为30分，实际得分29.91分，得分率为99.70%。该类指标主要从数量指标、质量指标、时效指标三个方面进行评分。其中，数量指标的权重值为10分，实际得分10分，得分率为100%；质量指标的权重值为16分，实际得分15.91分，得分率为99.44%，扣分主要由于早晚高峰时段公共汽电车平均运营时速达标率略低于目标值；时效指标的权重值为4分，实际得分4分，得分率为100%。</w:t>
      </w:r>
    </w:p>
    <w:p>
      <w:pPr>
        <w:numPr>
          <w:ilvl w:val="0"/>
          <w:numId w:val="0"/>
        </w:numPr>
        <w:spacing w:line="360" w:lineRule="auto"/>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4.效益指标分析</w:t>
      </w:r>
    </w:p>
    <w:p>
      <w:pPr>
        <w:numPr>
          <w:ilvl w:val="0"/>
          <w:numId w:val="0"/>
        </w:numPr>
        <w:spacing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项目效益指标方面，效益指标的权重值为28分，实际得分28分，得分率为100%。该类指标主要从社会效益、生态效益、可持续影响三个方面进行评分。其中，社会效益指标的权重值为12分，实际得分12分，得分率为100%；生态效益指标的权重值为11分，实际得分11分，得分率为100%；可持续影响指标的权重值为5分，实际得分5分，得分率为100%。</w:t>
      </w:r>
    </w:p>
    <w:p>
      <w:pPr>
        <w:numPr>
          <w:ilvl w:val="0"/>
          <w:numId w:val="0"/>
        </w:numPr>
        <w:spacing w:line="360" w:lineRule="auto"/>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5.满意度指标分析</w:t>
      </w:r>
    </w:p>
    <w:p>
      <w:pPr>
        <w:numPr>
          <w:ilvl w:val="0"/>
          <w:numId w:val="0"/>
        </w:numPr>
        <w:spacing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项目满意度指标方面，满意度指标的权重值为7分，实际得分6.93分，得分率为99%。该类指标主要从社会公众满意度进行评分，扣分主要由于社会公众满意度略低于目标值。</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1"/>
        <w:rPr>
          <w:rFonts w:hint="default" w:ascii="楷体" w:hAnsi="楷体" w:eastAsia="楷体" w:cs="楷体"/>
          <w:b w:val="0"/>
          <w:bCs/>
          <w:kern w:val="2"/>
          <w:sz w:val="32"/>
          <w:szCs w:val="24"/>
          <w:highlight w:val="none"/>
          <w:lang w:val="en-US" w:eastAsia="zh-CN" w:bidi="ar-SA"/>
        </w:rPr>
      </w:pPr>
      <w:bookmarkStart w:id="20" w:name="_Toc21373"/>
      <w:r>
        <w:rPr>
          <w:rFonts w:hint="eastAsia" w:ascii="楷体" w:hAnsi="楷体" w:eastAsia="楷体" w:cs="楷体"/>
          <w:b w:val="0"/>
          <w:bCs/>
          <w:kern w:val="2"/>
          <w:sz w:val="32"/>
          <w:szCs w:val="24"/>
          <w:highlight w:val="none"/>
          <w:lang w:val="en-US" w:eastAsia="zh-CN" w:bidi="ar-SA"/>
        </w:rPr>
        <w:t>（三）其他需说明的情况</w:t>
      </w:r>
      <w:bookmarkEnd w:id="20"/>
    </w:p>
    <w:p>
      <w:p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2012年7月，根据南京市政府确定的公交资源整合方案，经南京市国有资产监督管理委员会《关于同意对南京市公共交通总公司实施公司制改制的批复》（宁国资委企〔2012〕162号）批准，南京市城市建设投资控股（集团）有限责任公司对原南京市公共交通总公司实施改制，成立南京公共交通（集团）有限公司（简称“公交集团”），公交集团下设南京江南公交客运有限公司（简称“江南公交”）、南京扬子公交客运有限公司（简称“扬子公交”），分别承担主城区域（不含江宁区）公交运营、江北区域公交运营。</w:t>
      </w:r>
    </w:p>
    <w:p>
      <w:p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2013年6月，根据南京市政府关于公交企业资源整合的总体要求，公交集团与南京江宁公共交通集团有限公司对南京市江宁区的公交资源进行整合，江宁辖区内的原南京新城巴士有限公司和原南京通盛客运有限公司两家公交企业合并，成立南京东山公交客运有限公司（简称“东山公交”），承担南京市江宁区域公交运营。</w:t>
      </w:r>
    </w:p>
    <w:p>
      <w:p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2021年9月，根据公交集团的内部调整方案，扬子公交将其两家全资子公司南京扬子浦口公交客运有限公司（简称“浦口公交”）、南京扬子公交六合客运有限公司（简称“六合公交”）的全部股权划转至公交集团持有。其中，浦口公交和六合公交分别承担浦口区和六合区的公交运营。2021年11月，扬子公交更名为南京江北新区公交客运有限公司（简称“江北新区公交”），主要承担江北新区的公交运营。</w:t>
      </w:r>
    </w:p>
    <w:p>
      <w:p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2021年11月，根据公交集团的内部调整方案，公交集团吸收合并江南公交，2023年12月江南公交完成注销手续。</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附件：1.指标体系得分情况</w:t>
      </w:r>
    </w:p>
    <w:p>
      <w:pPr>
        <w:spacing w:line="360" w:lineRule="auto"/>
        <w:ind w:firstLine="640" w:firstLineChars="200"/>
        <w:rPr>
          <w:rFonts w:hint="eastAsia" w:ascii="仿宋_GB2312" w:eastAsia="仿宋_GB2312"/>
          <w:sz w:val="32"/>
          <w:szCs w:val="32"/>
        </w:rPr>
      </w:pPr>
    </w:p>
    <w:p>
      <w:pPr>
        <w:spacing w:line="360" w:lineRule="auto"/>
        <w:ind w:firstLine="640" w:firstLineChars="200"/>
        <w:rPr>
          <w:rFonts w:ascii="仿宋_GB2312" w:eastAsia="仿宋_GB2312"/>
          <w:sz w:val="32"/>
          <w:szCs w:val="32"/>
        </w:rPr>
      </w:pPr>
    </w:p>
    <w:p>
      <w:pPr>
        <w:spacing w:line="360" w:lineRule="auto"/>
        <w:ind w:right="640" w:firstLine="4800" w:firstLineChars="1500"/>
        <w:jc w:val="right"/>
        <w:rPr>
          <w:rFonts w:ascii="仿宋_GB2312" w:hAnsi="仿宋" w:eastAsia="仿宋_GB2312"/>
          <w:sz w:val="32"/>
          <w:szCs w:val="32"/>
        </w:rPr>
      </w:pPr>
      <w:r>
        <w:rPr>
          <w:rFonts w:hint="eastAsia" w:ascii="仿宋_GB2312" w:hAnsi="仿宋" w:eastAsia="仿宋_GB2312"/>
          <w:sz w:val="32"/>
          <w:szCs w:val="32"/>
        </w:rPr>
        <w:t>南京市交通运输局</w:t>
      </w:r>
    </w:p>
    <w:p>
      <w:pPr>
        <w:spacing w:line="360" w:lineRule="auto"/>
        <w:ind w:right="-58" w:firstLine="4160" w:firstLineChars="1300"/>
        <w:jc w:val="center"/>
        <w:rPr>
          <w:rFonts w:ascii="仿宋_GB2312" w:eastAsia="仿宋_GB2312"/>
          <w:sz w:val="32"/>
          <w:szCs w:val="32"/>
        </w:rPr>
      </w:pPr>
      <w:r>
        <w:rPr>
          <w:rFonts w:hint="eastAsia" w:ascii="仿宋_GB2312" w:hAnsi="仿宋" w:eastAsia="仿宋_GB2312"/>
          <w:sz w:val="32"/>
          <w:szCs w:val="32"/>
        </w:rPr>
        <w:t xml:space="preserve"> </w:t>
      </w:r>
      <w:r>
        <w:rPr>
          <w:rFonts w:ascii="仿宋_GB2312" w:hAnsi="仿宋" w:eastAsia="仿宋_GB2312"/>
          <w:sz w:val="32"/>
          <w:szCs w:val="32"/>
        </w:rPr>
        <w:t xml:space="preserve"> </w:t>
      </w:r>
      <w:r>
        <w:rPr>
          <w:rFonts w:hint="eastAsia" w:ascii="仿宋_GB2312" w:hAnsi="仿宋" w:eastAsia="仿宋_GB2312"/>
          <w:sz w:val="32"/>
          <w:szCs w:val="32"/>
        </w:rPr>
        <w:t>二</w:t>
      </w:r>
      <w:r>
        <w:rPr>
          <w:rFonts w:hint="eastAsia" w:ascii="宋体" w:hAnsi="宋体" w:cs="宋体"/>
          <w:sz w:val="32"/>
          <w:szCs w:val="32"/>
        </w:rPr>
        <w:t>〇</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年</w:t>
      </w:r>
      <w:r>
        <w:rPr>
          <w:rFonts w:hint="eastAsia" w:ascii="仿宋_GB2312" w:hAnsi="仿宋" w:eastAsia="仿宋_GB2312"/>
          <w:sz w:val="32"/>
          <w:szCs w:val="32"/>
          <w:lang w:val="en-US" w:eastAsia="zh-CN"/>
        </w:rPr>
        <w:t>六</w:t>
      </w:r>
      <w:r>
        <w:rPr>
          <w:rFonts w:hint="eastAsia" w:ascii="仿宋_GB2312" w:hAnsi="仿宋" w:eastAsia="仿宋_GB2312"/>
          <w:sz w:val="32"/>
          <w:szCs w:val="32"/>
        </w:rPr>
        <w:t>月</w:t>
      </w:r>
      <w:r>
        <w:rPr>
          <w:rFonts w:hint="eastAsia" w:ascii="仿宋_GB2312" w:hAnsi="仿宋" w:eastAsia="仿宋_GB2312"/>
          <w:sz w:val="32"/>
          <w:szCs w:val="32"/>
          <w:lang w:val="en-US" w:eastAsia="zh-CN"/>
        </w:rPr>
        <w:t>十五</w:t>
      </w:r>
      <w:r>
        <w:rPr>
          <w:rFonts w:hint="eastAsia" w:ascii="仿宋_GB2312" w:hAnsi="仿宋" w:eastAsia="仿宋_GB2312"/>
          <w:sz w:val="32"/>
          <w:szCs w:val="32"/>
        </w:rPr>
        <w:t>日</w:t>
      </w:r>
    </w:p>
    <w:p>
      <w:pPr>
        <w:widowControl/>
        <w:jc w:val="left"/>
        <w:rPr>
          <w:rFonts w:ascii="仿宋_GB2312" w:eastAsia="仿宋_GB2312"/>
          <w:sz w:val="32"/>
          <w:szCs w:val="32"/>
        </w:rPr>
        <w:sectPr>
          <w:footerReference r:id="rId4" w:type="default"/>
          <w:pgSz w:w="11906" w:h="16838"/>
          <w:pgMar w:top="1440" w:right="1797" w:bottom="1440" w:left="1797" w:header="851" w:footer="851" w:gutter="0"/>
          <w:pgNumType w:start="1"/>
          <w:cols w:space="425" w:num="1"/>
          <w:docGrid w:type="lines" w:linePitch="312" w:charSpace="0"/>
        </w:sectPr>
      </w:pPr>
      <w:r>
        <w:rPr>
          <w:rFonts w:ascii="仿宋_GB2312" w:eastAsia="仿宋_GB2312"/>
          <w:sz w:val="32"/>
          <w:szCs w:val="32"/>
        </w:rPr>
        <w:br w:type="page"/>
      </w:r>
    </w:p>
    <w:p>
      <w:pPr>
        <w:pStyle w:val="2"/>
        <w:spacing w:before="0" w:after="0" w:line="240" w:lineRule="auto"/>
        <w:rPr>
          <w:rFonts w:ascii="黑体" w:hAnsi="黑体" w:eastAsia="黑体" w:cs="黑体"/>
          <w:sz w:val="32"/>
          <w:szCs w:val="32"/>
        </w:rPr>
      </w:pPr>
      <w:bookmarkStart w:id="21" w:name="_Toc28557"/>
      <w:r>
        <w:rPr>
          <w:rFonts w:hint="eastAsia" w:ascii="黑体" w:hAnsi="黑体" w:eastAsia="黑体" w:cs="黑体"/>
          <w:sz w:val="32"/>
          <w:szCs w:val="32"/>
        </w:rPr>
        <w:t>附件1：指标体系得分情况</w:t>
      </w:r>
      <w:bookmarkEnd w:id="21"/>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sz w:val="32"/>
          <w:szCs w:val="32"/>
        </w:rPr>
      </w:pPr>
      <w:bookmarkStart w:id="22" w:name="_Toc1628"/>
      <w:bookmarkStart w:id="23" w:name="_Toc19205"/>
      <w:r>
        <w:rPr>
          <w:rFonts w:hint="eastAsia" w:ascii="黑体" w:hAnsi="黑体" w:eastAsia="黑体"/>
          <w:sz w:val="32"/>
          <w:szCs w:val="32"/>
        </w:rPr>
        <w:t>2024年度南京市交通运输局公交企业运营补贴</w:t>
      </w:r>
      <w:bookmarkEnd w:id="22"/>
      <w:bookmarkEnd w:id="23"/>
      <w:r>
        <w:rPr>
          <w:rFonts w:hint="eastAsia" w:ascii="黑体" w:hAnsi="黑体" w:eastAsia="黑体"/>
          <w:sz w:val="32"/>
          <w:szCs w:val="32"/>
          <w:lang w:val="en-US" w:eastAsia="zh-CN"/>
        </w:rPr>
        <w:t>专项资金</w:t>
      </w:r>
      <w:r>
        <w:rPr>
          <w:rFonts w:hint="eastAsia" w:ascii="黑体" w:hAnsi="黑体" w:eastAsia="黑体"/>
          <w:sz w:val="32"/>
          <w:szCs w:val="32"/>
        </w:rPr>
        <w:t>绩效评价综合评分表</w:t>
      </w:r>
    </w:p>
    <w:tbl>
      <w:tblPr>
        <w:tblStyle w:val="9"/>
        <w:tblW w:w="5325" w:type="pct"/>
        <w:tblInd w:w="-4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9"/>
        <w:gridCol w:w="1217"/>
        <w:gridCol w:w="1114"/>
        <w:gridCol w:w="712"/>
        <w:gridCol w:w="5862"/>
        <w:gridCol w:w="931"/>
        <w:gridCol w:w="1110"/>
        <w:gridCol w:w="752"/>
        <w:gridCol w:w="2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blHead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bookmarkStart w:id="24" w:name="_Hlk112010480"/>
            <w:r>
              <w:rPr>
                <w:rFonts w:hint="eastAsia" w:ascii="仿宋_GB2312" w:hAnsi="仿宋_GB2312" w:eastAsia="仿宋_GB2312" w:cs="仿宋_GB2312"/>
                <w:i w:val="0"/>
                <w:iCs w:val="0"/>
                <w:color w:val="000000"/>
                <w:kern w:val="0"/>
                <w:sz w:val="21"/>
                <w:szCs w:val="21"/>
                <w:u w:val="none"/>
                <w:lang w:val="en-US" w:eastAsia="zh-CN" w:bidi="ar"/>
              </w:rPr>
              <w:t>一级指标</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二级指标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三级指标</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权重</w:t>
            </w:r>
          </w:p>
        </w:tc>
        <w:tc>
          <w:tcPr>
            <w:tcW w:w="1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指标说明及评分标准</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标杆值</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实际值</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得分 </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决策</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项目立项</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立项依据充分性</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①项目立项是否符合国家法律法规、国民经济发展规划和相关政策；②项目立项是否符合行业发展规划和政策；③项目立项是否与部门职责范围相符；④项目是否属于公共财政支持范围，符合市级、区级事权支出责任划分原则；⑤项目是否与相关部门同类项目或部门内部相关项目不重复。以上五项各占权重分的20%，符合即得分，不符合不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充分</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充分</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2.00 </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立项程序规范性</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①项目是否按照规定的程序申请设立；②审批文件、材料是否符合相关要求；③事前是否已经过必要的可行性研究、专家论证、风险评估、绩效评估、集体决策。以上三项各占权重分的1/3，符合即得分，不符合不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规范</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规范</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2.00 </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403"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绩效目标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绩效目标合理性</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①项目是否有绩效目标；②项目绩效目标与实际工作内容是否具有相关性；③项目预期产出效益和效果是否符合正常的业绩水平；④是否与预算确定的项目投资额或资金量相匹配。⑤是否与上级考核要求相配。以上五项各占权重分的20%，符合即得分，不符合不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合理</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合理</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2.00 </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403"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绩效指标明确性</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①是否将项目绩效目标细化分解为具体的绩效指标；②是否通过清晰、可衡量的指标值予以体现；③是否与项目目标任务数或计划数相对应。以上三项各占权重分的1/3，符合即得分，不符合不得分。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明确</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明确</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2.00 </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资金投入</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预算编制科学性</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①预算编制是否经过科学论证；②预算内容与项目内容是否匹配；③预算额度测算依据是否充分，是否按照标准编制；④预算确定的项目投资额或资金量是否与工作任务相匹配。⑤预算资金来源是否与支出责任相匹配，是否符合政府与市场之间的关系。以上五项各占权重分的20%，符合即得分，不符合不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科学</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科学</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2.00 </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资金分配合理性</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①预算资金分配依据是否充分；②资金分配额度是否合理，与项目单位或地方实际是否相适应。③资金分配方式及时间，是否符合法律法规规定。④项目实施过程中，未发生较大幅度的预算调整（调整金额不超过预算批复金额的10%），调整幅度超过10%的，每超过1%扣0.1分，扣完该项分数为止。以上四项各占权重分的25%，前三项符合即得分，不符合不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合理</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较合理</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2.66 </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2024年初预算批复185,911.00万元，预算调减24,982.00万元，调整幅度13.44%，超过10%，且超过3.44%，应扣0.1*3.44=0.34，所以扣0.34分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过程</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资金管理</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资金到位率</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资金到位率=（实际到位资金÷预算资金）×100%；</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实际到位资金：一定时期（本年度或项目期）内实际落实到具体项目的资金；</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预算资金：一定时期（本年度或项目期）内预算安排到具体项目的资金。</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得分=资金到位率×权重分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3.00 </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预算执行率</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预算执行率=（实际支付资金÷预算资金）×100%；</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实际支出资金：一定时期（本年度或项目期）内项目实际拨付/支出的资金。</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得分=预算执行率×权重分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3.00 </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资金使用合规性</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①资金使用合法合规且未发生截留、挤占、挪用、虚列支出等情况得2分，否则不得分；</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②资金拨付使用相关审批程序和手续规范齐备、符合项目预算批复或合同规定的用途得2分，每发现一处问题扣0.2分，扣完为止。</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合规</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较合规</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2.00 </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2024年南京市财政局下拨公交企业运营补贴至浦口区财政局合计2,344.00万元、六合区财政局合计3,652.80万元，但浦口区财政局下拨至浦口公交合计1,465.00万元，六合区财政局下拨至六合公交合计3,149.00万元，分别剩余879.00万元、503.80万元于2025年1月、2月拨付至浦口公交和六合公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403" w:type="pct"/>
            <w:vMerge w:val="restart"/>
            <w:tcBorders>
              <w:top w:val="nil"/>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组织实施</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管理制度健全性</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①是否已制定或具有相应的财务和业务管理等制度；②财务和业务管理等制度是否合法、合规、完整。③是否有完善的内控制度。以上三项各占权重分的1/3，符合即得分，不符合不得分。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健全</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健全</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3.00 </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403" w:type="pct"/>
            <w:vMerge w:val="continue"/>
            <w:tcBorders>
              <w:left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制度执行有效性</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①是否遵守相关法律法规和相关管理规定；②项目调整及支出调整手续是否完备；③项目合同书、验收报告、技术鉴定等资料是否齐全并及时归档；④项目实施的人员条件、场地设备、信息支撑等是否落实到位；⑤项目中期绩效运行监控制度是否落实到位。以上五项各占权重分的20%，符合即得分，不符合不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有效</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有效</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3.00 </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403"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项目政策调整</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1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①及时对社会形势变化进行研判，得2分，未进行研判不得分；</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②根据研判结果，及时做出科学决策，得2分，未进行科学决策不得分；</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③基于决策结果，及时对项目政策进行调整得2分，未进行政策调整不得分。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调整</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未调整</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   </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项目政策于2017年制定，截至绩效评价日，仍未更新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产出</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公共交通站点500米覆盖率</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完成率达到100%得满分，每降低一个百分点，扣减权重分的5%，扣完即止。</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2.00 </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万人公共交通车辆保有量</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大于等于16标台/万人得权重分的100%，每降低一个百分点，扣减权重分的5%，扣完即止。</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16标台/万人</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达到16标台/万人</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2.00 </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公共汽电车线路网比率</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公共汽电车线路网比率达到60%得满分，每降低一个百分点，扣减权重分的5%，扣完即止。</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62%</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2.00 </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城乡客运线路公交化运营比率</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城乡客运线路公交化运营比率达到100%得满分，每降低一个百分点，扣减权重分的5%，扣完即止。</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2.00 </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公共汽电车责任事故死亡率</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公共汽电车责任事故死亡率＜0.045人/百万公里得满分，每降低一个百分点，扣减权重分的5%，扣完即止。</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＜0.045人/百万公里</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＜0.045人/百万公里</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2.00 </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公交智能化系统提升程度</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根据实际情况进行定性评价。评级为“有效提升”得权重分的100%；评级为“较有效提升”得权重分的80%；评级为“中等”得权重分的50%；其他不得分。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有效提升</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有效提升</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4.00 </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公交路线优化程度</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根据实际情况进行定性评价。评级为“有效优化”得权重分的100%；评级为“较有效优化”得权重分的80%；评级为“中等”得权重分的50%；其他不得分。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有效优化</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有效优化</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4.00 </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早晚高峰时段公共交通平均拥挤度</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完成率＜80%得满分，每提升一个百分点，扣减权重分的5%，扣完即止。</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39.81%</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4.00 </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早晚高峰时段公共汽电车平均运营时速达标率</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高峰时段平均运营时速达到20公里/小时，得权重分的100%，否则根据实际平均运营时速占考核指标值的比例计算得分。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20公里/小时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19.57公里/小时</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3.91 </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2024年早晚高峰时段公共汽电车平均运营时速达标率为19.57公里/小时，按比例计算得分3.91分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40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补助发放及时性</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及时率=实际支付补助金额/计划支付补助金额，得分=权重*及时率</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4.00 </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效益</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社会效益</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社会公众公共出行体验改善程度</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1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根据实际情况进行定性评价。评级为“有效改善”得权重分的100%；评级为“较有效改善”得权重分的80%；评级为“中等”得权重分的50%；其他不得分。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有效改善</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有效改善</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6.00 </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社会公众公共出行成本降低程度</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1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根据实际情况进行定性评价。评级为“有效降低”得权重分的100%；评级为“较有效降低”得权重分的80%；评级为“中等”得权重分的50%；其他不得分。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有效降低</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较有效降低</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6.00 </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生态效益</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绿色出行意识有效提升</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1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根据实际情况进行定性评价。评级为“有效提升”得权重分的100%；评级为“较有效提升”得权重分的80%；评级为“中等”得权重分的50%；其他不得分。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有效提升</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有效提升</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6.00 </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居民公交出行理念改善程度</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根据实际情况进行定性评价。评级为“有效改善”得权重分的100%；评级为“较有效改善”得权重分的80%；评级为“中等”得权重分的50%；其他不得分。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有效改善</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有效改善</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5.00 </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可持续性影响</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可持续性影响</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根据实际情况进行定性评价。评级为“持续影响”得权重分的100%；评级为“较持续影响”得权重分的75%；评级为“中等”得权重分的50%；其他不得分。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持续影响</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持续影响</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5.00 </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满意度</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社会公众满意度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社会公众满意度</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1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满意度≥90%得满分，否则按实际比例得分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89.13%</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6.93 </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满意度为89.13%，按比例得分为6.93分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合计</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1"/>
                <w:szCs w:val="21"/>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1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1"/>
                <w:szCs w:val="21"/>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91.50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1"/>
                <w:szCs w:val="21"/>
                <w:u w:val="none"/>
              </w:rPr>
            </w:pPr>
          </w:p>
        </w:tc>
      </w:tr>
    </w:tbl>
    <w:p>
      <w:pPr>
        <w:spacing w:line="360" w:lineRule="auto"/>
        <w:ind w:firstLine="560" w:firstLineChars="200"/>
        <w:rPr>
          <w:rFonts w:hint="default" w:ascii="黑体" w:hAnsi="黑体" w:eastAsia="黑体" w:cs="黑体"/>
          <w:sz w:val="32"/>
          <w:szCs w:val="32"/>
          <w:lang w:val="en-US" w:eastAsia="zh-CN"/>
        </w:rPr>
      </w:pPr>
      <w:r>
        <w:rPr>
          <w:rFonts w:hint="eastAsia" w:ascii="仿宋_GB2312" w:eastAsia="仿宋_GB2312"/>
          <w:b w:val="0"/>
          <w:bCs w:val="0"/>
          <w:sz w:val="28"/>
          <w:szCs w:val="28"/>
        </w:rPr>
        <w:t>评价等级：优(90及以上) 良(80～89) 中(</w:t>
      </w:r>
      <w:r>
        <w:rPr>
          <w:rFonts w:hint="eastAsia" w:ascii="仿宋_GB2312" w:eastAsia="仿宋_GB2312"/>
          <w:b w:val="0"/>
          <w:bCs w:val="0"/>
          <w:sz w:val="28"/>
          <w:szCs w:val="28"/>
          <w:lang w:val="en-US" w:eastAsia="zh-CN"/>
        </w:rPr>
        <w:t>6</w:t>
      </w:r>
      <w:r>
        <w:rPr>
          <w:rFonts w:hint="eastAsia" w:ascii="仿宋_GB2312" w:eastAsia="仿宋_GB2312"/>
          <w:b w:val="0"/>
          <w:bCs w:val="0"/>
          <w:sz w:val="28"/>
          <w:szCs w:val="28"/>
        </w:rPr>
        <w:t>0～79) ) 差(59以下)</w:t>
      </w:r>
      <w:bookmarkEnd w:id="24"/>
    </w:p>
    <w:sectPr>
      <w:pgSz w:w="16838" w:h="11906" w:orient="landscape"/>
      <w:pgMar w:top="1797" w:right="1440" w:bottom="1797" w:left="1440" w:header="851" w:footer="850" w:gutter="0"/>
      <w:cols w:space="0" w:num="1"/>
      <w:rtlGutter w:val="0"/>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9238740"/>
    </w:sdtPr>
    <w:sdtEndPr>
      <w:rPr>
        <w:rFonts w:hint="eastAsia" w:ascii="仿宋_GB2312" w:eastAsia="仿宋_GB2312"/>
        <w:sz w:val="24"/>
        <w:szCs w:val="24"/>
      </w:rPr>
    </w:sdtEndPr>
    <w:sdtContent>
      <w:p>
        <w:pPr>
          <w:pStyle w:val="5"/>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hint="eastAsia" w:ascii="仿宋_GB2312" w:eastAsia="仿宋_GB2312"/>
            <w:sz w:val="24"/>
            <w:szCs w:val="24"/>
            <w:lang w:val="zh-CN"/>
          </w:rPr>
          <w:t>2</w:t>
        </w:r>
        <w:r>
          <w:rPr>
            <w:rFonts w:hint="eastAsia" w:ascii="仿宋_GB2312" w:eastAsia="仿宋_GB2312"/>
            <w:sz w:val="24"/>
            <w:szCs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BF7C39"/>
    <w:multiLevelType w:val="singleLevel"/>
    <w:tmpl w:val="6ABF7C3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3FD"/>
    <w:rsid w:val="000009D2"/>
    <w:rsid w:val="000050C6"/>
    <w:rsid w:val="00007C6D"/>
    <w:rsid w:val="00033EA7"/>
    <w:rsid w:val="00036CDE"/>
    <w:rsid w:val="000477B6"/>
    <w:rsid w:val="000559D0"/>
    <w:rsid w:val="000640D6"/>
    <w:rsid w:val="00065337"/>
    <w:rsid w:val="000700AA"/>
    <w:rsid w:val="00076EAD"/>
    <w:rsid w:val="00084C1B"/>
    <w:rsid w:val="00097A18"/>
    <w:rsid w:val="000A08F4"/>
    <w:rsid w:val="000A29B6"/>
    <w:rsid w:val="000A59AB"/>
    <w:rsid w:val="000C4E4C"/>
    <w:rsid w:val="000C6E3D"/>
    <w:rsid w:val="000D18E9"/>
    <w:rsid w:val="000D344F"/>
    <w:rsid w:val="000D7896"/>
    <w:rsid w:val="000D7C32"/>
    <w:rsid w:val="000F1478"/>
    <w:rsid w:val="000F4B27"/>
    <w:rsid w:val="000F5C65"/>
    <w:rsid w:val="00104CA2"/>
    <w:rsid w:val="00104E35"/>
    <w:rsid w:val="0010593C"/>
    <w:rsid w:val="0011706A"/>
    <w:rsid w:val="00122240"/>
    <w:rsid w:val="00125D31"/>
    <w:rsid w:val="00130241"/>
    <w:rsid w:val="0013431C"/>
    <w:rsid w:val="00146E0A"/>
    <w:rsid w:val="00153AD4"/>
    <w:rsid w:val="00156E27"/>
    <w:rsid w:val="0015797D"/>
    <w:rsid w:val="0016513B"/>
    <w:rsid w:val="0016533B"/>
    <w:rsid w:val="001730A8"/>
    <w:rsid w:val="00174032"/>
    <w:rsid w:val="0018197F"/>
    <w:rsid w:val="00185A3C"/>
    <w:rsid w:val="00193A70"/>
    <w:rsid w:val="001954C0"/>
    <w:rsid w:val="00197031"/>
    <w:rsid w:val="00197A6D"/>
    <w:rsid w:val="001A0563"/>
    <w:rsid w:val="001A1445"/>
    <w:rsid w:val="001A5A51"/>
    <w:rsid w:val="001B0699"/>
    <w:rsid w:val="001B17AE"/>
    <w:rsid w:val="001B64DF"/>
    <w:rsid w:val="001C5F85"/>
    <w:rsid w:val="001C640A"/>
    <w:rsid w:val="001D2227"/>
    <w:rsid w:val="001D6787"/>
    <w:rsid w:val="001E0B7F"/>
    <w:rsid w:val="001E157E"/>
    <w:rsid w:val="001E2450"/>
    <w:rsid w:val="001E3FD2"/>
    <w:rsid w:val="00216F00"/>
    <w:rsid w:val="00220BF2"/>
    <w:rsid w:val="0022199F"/>
    <w:rsid w:val="002367DA"/>
    <w:rsid w:val="00241812"/>
    <w:rsid w:val="00241A0D"/>
    <w:rsid w:val="00245F4A"/>
    <w:rsid w:val="002470CE"/>
    <w:rsid w:val="00256545"/>
    <w:rsid w:val="00260CFC"/>
    <w:rsid w:val="00267DA7"/>
    <w:rsid w:val="0027165C"/>
    <w:rsid w:val="00272089"/>
    <w:rsid w:val="00276BF0"/>
    <w:rsid w:val="002866E0"/>
    <w:rsid w:val="002919EF"/>
    <w:rsid w:val="00292A03"/>
    <w:rsid w:val="00296519"/>
    <w:rsid w:val="00296B91"/>
    <w:rsid w:val="00297410"/>
    <w:rsid w:val="002B3CCE"/>
    <w:rsid w:val="002B4CD4"/>
    <w:rsid w:val="002B56B7"/>
    <w:rsid w:val="002C693F"/>
    <w:rsid w:val="002D2329"/>
    <w:rsid w:val="002E2C3E"/>
    <w:rsid w:val="002F3467"/>
    <w:rsid w:val="002F4932"/>
    <w:rsid w:val="002F4C4B"/>
    <w:rsid w:val="002F545C"/>
    <w:rsid w:val="002F5BA1"/>
    <w:rsid w:val="00300078"/>
    <w:rsid w:val="00300B0E"/>
    <w:rsid w:val="00306BF9"/>
    <w:rsid w:val="003071DC"/>
    <w:rsid w:val="00311149"/>
    <w:rsid w:val="00322E80"/>
    <w:rsid w:val="00332C9F"/>
    <w:rsid w:val="00364210"/>
    <w:rsid w:val="003651F3"/>
    <w:rsid w:val="003660D4"/>
    <w:rsid w:val="00367D64"/>
    <w:rsid w:val="00372996"/>
    <w:rsid w:val="00375860"/>
    <w:rsid w:val="003829DA"/>
    <w:rsid w:val="00386E00"/>
    <w:rsid w:val="00397283"/>
    <w:rsid w:val="003B1D31"/>
    <w:rsid w:val="003B554C"/>
    <w:rsid w:val="003C1885"/>
    <w:rsid w:val="003C2FFC"/>
    <w:rsid w:val="003C4DA6"/>
    <w:rsid w:val="003D6115"/>
    <w:rsid w:val="003F1C9E"/>
    <w:rsid w:val="003F260F"/>
    <w:rsid w:val="003F7107"/>
    <w:rsid w:val="00417A82"/>
    <w:rsid w:val="004249B4"/>
    <w:rsid w:val="004319DB"/>
    <w:rsid w:val="0044073E"/>
    <w:rsid w:val="00444E6D"/>
    <w:rsid w:val="00446254"/>
    <w:rsid w:val="0044781E"/>
    <w:rsid w:val="00454402"/>
    <w:rsid w:val="00455E04"/>
    <w:rsid w:val="00456CA5"/>
    <w:rsid w:val="00462BFD"/>
    <w:rsid w:val="00467345"/>
    <w:rsid w:val="00473040"/>
    <w:rsid w:val="004757B1"/>
    <w:rsid w:val="004778F3"/>
    <w:rsid w:val="00493DBD"/>
    <w:rsid w:val="00494C2B"/>
    <w:rsid w:val="00497493"/>
    <w:rsid w:val="004A0FAC"/>
    <w:rsid w:val="004A64F6"/>
    <w:rsid w:val="004B20EB"/>
    <w:rsid w:val="004B7216"/>
    <w:rsid w:val="004C7064"/>
    <w:rsid w:val="004D2BAA"/>
    <w:rsid w:val="004D6E19"/>
    <w:rsid w:val="004E79C9"/>
    <w:rsid w:val="004F4524"/>
    <w:rsid w:val="00501181"/>
    <w:rsid w:val="00507931"/>
    <w:rsid w:val="00514BD2"/>
    <w:rsid w:val="00530367"/>
    <w:rsid w:val="005310D4"/>
    <w:rsid w:val="00531DA0"/>
    <w:rsid w:val="00533988"/>
    <w:rsid w:val="00537562"/>
    <w:rsid w:val="00540BCC"/>
    <w:rsid w:val="00541461"/>
    <w:rsid w:val="0054338C"/>
    <w:rsid w:val="005503A7"/>
    <w:rsid w:val="0055488C"/>
    <w:rsid w:val="00555AC1"/>
    <w:rsid w:val="00565B39"/>
    <w:rsid w:val="005669A0"/>
    <w:rsid w:val="00567A5C"/>
    <w:rsid w:val="0057040D"/>
    <w:rsid w:val="005713A4"/>
    <w:rsid w:val="00587778"/>
    <w:rsid w:val="00593010"/>
    <w:rsid w:val="00594835"/>
    <w:rsid w:val="005964D9"/>
    <w:rsid w:val="005A2009"/>
    <w:rsid w:val="005A52D8"/>
    <w:rsid w:val="005C71D7"/>
    <w:rsid w:val="005D3BC6"/>
    <w:rsid w:val="005E4802"/>
    <w:rsid w:val="005F2367"/>
    <w:rsid w:val="006051F6"/>
    <w:rsid w:val="00615A53"/>
    <w:rsid w:val="00620BA0"/>
    <w:rsid w:val="00644D6A"/>
    <w:rsid w:val="00645239"/>
    <w:rsid w:val="00652BA2"/>
    <w:rsid w:val="00654A4D"/>
    <w:rsid w:val="00656957"/>
    <w:rsid w:val="00661F9F"/>
    <w:rsid w:val="00664FDB"/>
    <w:rsid w:val="00666912"/>
    <w:rsid w:val="00667DD9"/>
    <w:rsid w:val="00671A5B"/>
    <w:rsid w:val="00681607"/>
    <w:rsid w:val="0068516C"/>
    <w:rsid w:val="006A1121"/>
    <w:rsid w:val="006A3920"/>
    <w:rsid w:val="006A535C"/>
    <w:rsid w:val="006B26D9"/>
    <w:rsid w:val="006B56AF"/>
    <w:rsid w:val="006D38C0"/>
    <w:rsid w:val="006E1E87"/>
    <w:rsid w:val="006F751A"/>
    <w:rsid w:val="00701305"/>
    <w:rsid w:val="007039A5"/>
    <w:rsid w:val="007067DC"/>
    <w:rsid w:val="00707DDA"/>
    <w:rsid w:val="00711092"/>
    <w:rsid w:val="00711BE3"/>
    <w:rsid w:val="00715426"/>
    <w:rsid w:val="007176F4"/>
    <w:rsid w:val="00721478"/>
    <w:rsid w:val="0072236F"/>
    <w:rsid w:val="00746CEA"/>
    <w:rsid w:val="00753806"/>
    <w:rsid w:val="00754540"/>
    <w:rsid w:val="00754F50"/>
    <w:rsid w:val="00760178"/>
    <w:rsid w:val="00760B8A"/>
    <w:rsid w:val="007708AD"/>
    <w:rsid w:val="007721C5"/>
    <w:rsid w:val="00775E2D"/>
    <w:rsid w:val="0078192E"/>
    <w:rsid w:val="00781A80"/>
    <w:rsid w:val="0079153D"/>
    <w:rsid w:val="0079303F"/>
    <w:rsid w:val="007934EE"/>
    <w:rsid w:val="00795F4B"/>
    <w:rsid w:val="007A02A3"/>
    <w:rsid w:val="007A2339"/>
    <w:rsid w:val="007A443F"/>
    <w:rsid w:val="007A72F4"/>
    <w:rsid w:val="007A75D6"/>
    <w:rsid w:val="007B145B"/>
    <w:rsid w:val="007B433B"/>
    <w:rsid w:val="007B511B"/>
    <w:rsid w:val="007B6F4C"/>
    <w:rsid w:val="007B6FD7"/>
    <w:rsid w:val="007D1517"/>
    <w:rsid w:val="007D25CA"/>
    <w:rsid w:val="007D4E2F"/>
    <w:rsid w:val="007E25E0"/>
    <w:rsid w:val="007F2A81"/>
    <w:rsid w:val="007F5050"/>
    <w:rsid w:val="007F5800"/>
    <w:rsid w:val="00806B9C"/>
    <w:rsid w:val="00827A6A"/>
    <w:rsid w:val="00830C48"/>
    <w:rsid w:val="0083276A"/>
    <w:rsid w:val="00834B07"/>
    <w:rsid w:val="00837C4D"/>
    <w:rsid w:val="0084172E"/>
    <w:rsid w:val="008532DC"/>
    <w:rsid w:val="008559D1"/>
    <w:rsid w:val="00861460"/>
    <w:rsid w:val="008622E5"/>
    <w:rsid w:val="00862615"/>
    <w:rsid w:val="00862AE5"/>
    <w:rsid w:val="00863CBB"/>
    <w:rsid w:val="0086434C"/>
    <w:rsid w:val="00866B52"/>
    <w:rsid w:val="00874D3C"/>
    <w:rsid w:val="00877858"/>
    <w:rsid w:val="0088431E"/>
    <w:rsid w:val="00887298"/>
    <w:rsid w:val="008873DD"/>
    <w:rsid w:val="00895979"/>
    <w:rsid w:val="008B2118"/>
    <w:rsid w:val="008B62C9"/>
    <w:rsid w:val="008B6758"/>
    <w:rsid w:val="008B6B87"/>
    <w:rsid w:val="008D68EE"/>
    <w:rsid w:val="008E40F9"/>
    <w:rsid w:val="008E5FB6"/>
    <w:rsid w:val="008F1F34"/>
    <w:rsid w:val="008F71B5"/>
    <w:rsid w:val="00912AF3"/>
    <w:rsid w:val="009200AA"/>
    <w:rsid w:val="00925F5E"/>
    <w:rsid w:val="00935819"/>
    <w:rsid w:val="009361BC"/>
    <w:rsid w:val="00941A48"/>
    <w:rsid w:val="00947D64"/>
    <w:rsid w:val="00953CEA"/>
    <w:rsid w:val="00954AEE"/>
    <w:rsid w:val="009565B2"/>
    <w:rsid w:val="009652DF"/>
    <w:rsid w:val="00967508"/>
    <w:rsid w:val="00993F9A"/>
    <w:rsid w:val="009A22C2"/>
    <w:rsid w:val="009C04C4"/>
    <w:rsid w:val="009C5089"/>
    <w:rsid w:val="009C50F2"/>
    <w:rsid w:val="009D19A6"/>
    <w:rsid w:val="009D63D8"/>
    <w:rsid w:val="009D7ED7"/>
    <w:rsid w:val="009F1776"/>
    <w:rsid w:val="009F7A45"/>
    <w:rsid w:val="00A033BF"/>
    <w:rsid w:val="00A05F89"/>
    <w:rsid w:val="00A07A47"/>
    <w:rsid w:val="00A11B8C"/>
    <w:rsid w:val="00A12046"/>
    <w:rsid w:val="00A13338"/>
    <w:rsid w:val="00A13D97"/>
    <w:rsid w:val="00A13E38"/>
    <w:rsid w:val="00A20001"/>
    <w:rsid w:val="00A402A1"/>
    <w:rsid w:val="00A40459"/>
    <w:rsid w:val="00A65EB1"/>
    <w:rsid w:val="00A72C90"/>
    <w:rsid w:val="00A73F82"/>
    <w:rsid w:val="00A815E1"/>
    <w:rsid w:val="00A84109"/>
    <w:rsid w:val="00A96416"/>
    <w:rsid w:val="00AB17D5"/>
    <w:rsid w:val="00AB41E2"/>
    <w:rsid w:val="00AC325B"/>
    <w:rsid w:val="00AD26ED"/>
    <w:rsid w:val="00AD6110"/>
    <w:rsid w:val="00AD6E86"/>
    <w:rsid w:val="00AE2673"/>
    <w:rsid w:val="00AF4553"/>
    <w:rsid w:val="00AF782B"/>
    <w:rsid w:val="00B03D60"/>
    <w:rsid w:val="00B22237"/>
    <w:rsid w:val="00B232B1"/>
    <w:rsid w:val="00B26081"/>
    <w:rsid w:val="00B33225"/>
    <w:rsid w:val="00B34104"/>
    <w:rsid w:val="00B4062E"/>
    <w:rsid w:val="00B43B7A"/>
    <w:rsid w:val="00B4534E"/>
    <w:rsid w:val="00B50B23"/>
    <w:rsid w:val="00B53614"/>
    <w:rsid w:val="00B5544A"/>
    <w:rsid w:val="00B62B96"/>
    <w:rsid w:val="00B62D55"/>
    <w:rsid w:val="00B70CE4"/>
    <w:rsid w:val="00B71AFB"/>
    <w:rsid w:val="00B81AC9"/>
    <w:rsid w:val="00B87D3D"/>
    <w:rsid w:val="00BA21BE"/>
    <w:rsid w:val="00BA2EF7"/>
    <w:rsid w:val="00BA36D3"/>
    <w:rsid w:val="00BA5F02"/>
    <w:rsid w:val="00BA6C95"/>
    <w:rsid w:val="00BB3A3F"/>
    <w:rsid w:val="00BB751E"/>
    <w:rsid w:val="00BC63FD"/>
    <w:rsid w:val="00BC7CC3"/>
    <w:rsid w:val="00BD055D"/>
    <w:rsid w:val="00BD767E"/>
    <w:rsid w:val="00BD76EF"/>
    <w:rsid w:val="00BF023F"/>
    <w:rsid w:val="00C02116"/>
    <w:rsid w:val="00C05E9C"/>
    <w:rsid w:val="00C16EA6"/>
    <w:rsid w:val="00C1761F"/>
    <w:rsid w:val="00C222F3"/>
    <w:rsid w:val="00C24DB0"/>
    <w:rsid w:val="00C257A9"/>
    <w:rsid w:val="00C354BF"/>
    <w:rsid w:val="00C36016"/>
    <w:rsid w:val="00C5045B"/>
    <w:rsid w:val="00C52660"/>
    <w:rsid w:val="00C544F9"/>
    <w:rsid w:val="00C7725B"/>
    <w:rsid w:val="00C85A72"/>
    <w:rsid w:val="00C90ED6"/>
    <w:rsid w:val="00C924D1"/>
    <w:rsid w:val="00C92D85"/>
    <w:rsid w:val="00C94FF8"/>
    <w:rsid w:val="00C9502C"/>
    <w:rsid w:val="00CB381B"/>
    <w:rsid w:val="00CB62A9"/>
    <w:rsid w:val="00CC2C73"/>
    <w:rsid w:val="00CC3CB7"/>
    <w:rsid w:val="00CC4BAA"/>
    <w:rsid w:val="00CC63EF"/>
    <w:rsid w:val="00CD195E"/>
    <w:rsid w:val="00CD31BD"/>
    <w:rsid w:val="00CE0182"/>
    <w:rsid w:val="00CE266C"/>
    <w:rsid w:val="00CE3F34"/>
    <w:rsid w:val="00CF014B"/>
    <w:rsid w:val="00D06460"/>
    <w:rsid w:val="00D107F5"/>
    <w:rsid w:val="00D12683"/>
    <w:rsid w:val="00D15363"/>
    <w:rsid w:val="00D25319"/>
    <w:rsid w:val="00D27A40"/>
    <w:rsid w:val="00D31006"/>
    <w:rsid w:val="00D35281"/>
    <w:rsid w:val="00D37E4A"/>
    <w:rsid w:val="00D41D19"/>
    <w:rsid w:val="00D50650"/>
    <w:rsid w:val="00D7253D"/>
    <w:rsid w:val="00D82FED"/>
    <w:rsid w:val="00D9327C"/>
    <w:rsid w:val="00D960C9"/>
    <w:rsid w:val="00D97F41"/>
    <w:rsid w:val="00D97F7D"/>
    <w:rsid w:val="00DA2064"/>
    <w:rsid w:val="00DA376A"/>
    <w:rsid w:val="00DA7B2C"/>
    <w:rsid w:val="00DB3829"/>
    <w:rsid w:val="00DC2E77"/>
    <w:rsid w:val="00DC2FDC"/>
    <w:rsid w:val="00DC5993"/>
    <w:rsid w:val="00DD112D"/>
    <w:rsid w:val="00DD3469"/>
    <w:rsid w:val="00DF0074"/>
    <w:rsid w:val="00DF03FB"/>
    <w:rsid w:val="00DF3300"/>
    <w:rsid w:val="00DF3CAE"/>
    <w:rsid w:val="00DF727A"/>
    <w:rsid w:val="00E1056E"/>
    <w:rsid w:val="00E11FB1"/>
    <w:rsid w:val="00E21F54"/>
    <w:rsid w:val="00E23598"/>
    <w:rsid w:val="00E32825"/>
    <w:rsid w:val="00E34820"/>
    <w:rsid w:val="00E3501B"/>
    <w:rsid w:val="00E35503"/>
    <w:rsid w:val="00E42791"/>
    <w:rsid w:val="00E45E9A"/>
    <w:rsid w:val="00E5246F"/>
    <w:rsid w:val="00E6436F"/>
    <w:rsid w:val="00E64704"/>
    <w:rsid w:val="00E64ADD"/>
    <w:rsid w:val="00E84CAE"/>
    <w:rsid w:val="00E870F9"/>
    <w:rsid w:val="00E909AD"/>
    <w:rsid w:val="00E90BFB"/>
    <w:rsid w:val="00E90FD9"/>
    <w:rsid w:val="00E92A3D"/>
    <w:rsid w:val="00E955C0"/>
    <w:rsid w:val="00EA3536"/>
    <w:rsid w:val="00EA5721"/>
    <w:rsid w:val="00EB37F7"/>
    <w:rsid w:val="00EB4023"/>
    <w:rsid w:val="00EB4C9E"/>
    <w:rsid w:val="00EB506E"/>
    <w:rsid w:val="00EC31C7"/>
    <w:rsid w:val="00ED209C"/>
    <w:rsid w:val="00EE5314"/>
    <w:rsid w:val="00EE71FD"/>
    <w:rsid w:val="00EF4D46"/>
    <w:rsid w:val="00F07A7D"/>
    <w:rsid w:val="00F115C8"/>
    <w:rsid w:val="00F12E54"/>
    <w:rsid w:val="00F20223"/>
    <w:rsid w:val="00F25CB8"/>
    <w:rsid w:val="00F40AC1"/>
    <w:rsid w:val="00F41556"/>
    <w:rsid w:val="00F45045"/>
    <w:rsid w:val="00F547D5"/>
    <w:rsid w:val="00F57C54"/>
    <w:rsid w:val="00F65DA2"/>
    <w:rsid w:val="00F6623C"/>
    <w:rsid w:val="00F71858"/>
    <w:rsid w:val="00F74AEF"/>
    <w:rsid w:val="00F81911"/>
    <w:rsid w:val="00F84953"/>
    <w:rsid w:val="00F90C15"/>
    <w:rsid w:val="00F974A1"/>
    <w:rsid w:val="00F97AB5"/>
    <w:rsid w:val="00FA0EBC"/>
    <w:rsid w:val="00FB078F"/>
    <w:rsid w:val="00FB2F96"/>
    <w:rsid w:val="00FB7415"/>
    <w:rsid w:val="00FC1FFC"/>
    <w:rsid w:val="00FC293B"/>
    <w:rsid w:val="00FC3603"/>
    <w:rsid w:val="00FD46E9"/>
    <w:rsid w:val="00FD6F44"/>
    <w:rsid w:val="00FE61D9"/>
    <w:rsid w:val="00FF24E9"/>
    <w:rsid w:val="00FF5D23"/>
    <w:rsid w:val="00FF6E9A"/>
    <w:rsid w:val="013C09DB"/>
    <w:rsid w:val="017C6211"/>
    <w:rsid w:val="02783FD9"/>
    <w:rsid w:val="027F249F"/>
    <w:rsid w:val="02CC3C7C"/>
    <w:rsid w:val="056F2E0E"/>
    <w:rsid w:val="06037F9F"/>
    <w:rsid w:val="06B30F65"/>
    <w:rsid w:val="08EF2D9D"/>
    <w:rsid w:val="09C3553C"/>
    <w:rsid w:val="09F55B85"/>
    <w:rsid w:val="0A3B59B5"/>
    <w:rsid w:val="0AF50259"/>
    <w:rsid w:val="0D2E35AF"/>
    <w:rsid w:val="0EF10D38"/>
    <w:rsid w:val="0EFF39B4"/>
    <w:rsid w:val="0F423341"/>
    <w:rsid w:val="0F6239E3"/>
    <w:rsid w:val="10F16DCD"/>
    <w:rsid w:val="1157071C"/>
    <w:rsid w:val="11A9138D"/>
    <w:rsid w:val="12A65EEF"/>
    <w:rsid w:val="12BD103C"/>
    <w:rsid w:val="155344FA"/>
    <w:rsid w:val="16924DB3"/>
    <w:rsid w:val="173301C1"/>
    <w:rsid w:val="179A129B"/>
    <w:rsid w:val="18CE20EA"/>
    <w:rsid w:val="18FA665E"/>
    <w:rsid w:val="1A5A116C"/>
    <w:rsid w:val="1B18764C"/>
    <w:rsid w:val="1CF06AD2"/>
    <w:rsid w:val="1E1D7326"/>
    <w:rsid w:val="1E8B49ED"/>
    <w:rsid w:val="1F42477D"/>
    <w:rsid w:val="1FF922E3"/>
    <w:rsid w:val="20E71F9A"/>
    <w:rsid w:val="21AD0568"/>
    <w:rsid w:val="21C4408A"/>
    <w:rsid w:val="24D3515B"/>
    <w:rsid w:val="253E5660"/>
    <w:rsid w:val="260E2596"/>
    <w:rsid w:val="26966CE4"/>
    <w:rsid w:val="26A30712"/>
    <w:rsid w:val="26B40B71"/>
    <w:rsid w:val="26BE554B"/>
    <w:rsid w:val="28612C6A"/>
    <w:rsid w:val="2957375E"/>
    <w:rsid w:val="29C31BBD"/>
    <w:rsid w:val="2AA66A22"/>
    <w:rsid w:val="2B911481"/>
    <w:rsid w:val="2C05077F"/>
    <w:rsid w:val="2CA563F5"/>
    <w:rsid w:val="2D8B3CFE"/>
    <w:rsid w:val="2DAC25A2"/>
    <w:rsid w:val="2E4C5B33"/>
    <w:rsid w:val="2E7B4735"/>
    <w:rsid w:val="2EB01C1E"/>
    <w:rsid w:val="2F0D0E1E"/>
    <w:rsid w:val="30555F1F"/>
    <w:rsid w:val="332429C8"/>
    <w:rsid w:val="347D25A2"/>
    <w:rsid w:val="36025FA2"/>
    <w:rsid w:val="370D2D44"/>
    <w:rsid w:val="373955A8"/>
    <w:rsid w:val="37A87525"/>
    <w:rsid w:val="3A543DA5"/>
    <w:rsid w:val="3B2D45F6"/>
    <w:rsid w:val="3BE5007A"/>
    <w:rsid w:val="3C291E1C"/>
    <w:rsid w:val="3CCA65A0"/>
    <w:rsid w:val="3DFE3777"/>
    <w:rsid w:val="3E497999"/>
    <w:rsid w:val="3E854E75"/>
    <w:rsid w:val="3EA57CA4"/>
    <w:rsid w:val="3F7D78FA"/>
    <w:rsid w:val="3FBA6DA0"/>
    <w:rsid w:val="41A33EB8"/>
    <w:rsid w:val="41AD023F"/>
    <w:rsid w:val="42255F9B"/>
    <w:rsid w:val="4304234A"/>
    <w:rsid w:val="43474123"/>
    <w:rsid w:val="44A35BEA"/>
    <w:rsid w:val="44DC50C3"/>
    <w:rsid w:val="455F7AA2"/>
    <w:rsid w:val="459C4852"/>
    <w:rsid w:val="467941EE"/>
    <w:rsid w:val="468E6891"/>
    <w:rsid w:val="47CD33E9"/>
    <w:rsid w:val="483838D5"/>
    <w:rsid w:val="491312CF"/>
    <w:rsid w:val="49724248"/>
    <w:rsid w:val="4AA703AD"/>
    <w:rsid w:val="4CC052CA"/>
    <w:rsid w:val="4D5F4AE3"/>
    <w:rsid w:val="4E402B66"/>
    <w:rsid w:val="4EEB61B9"/>
    <w:rsid w:val="4FC33ADD"/>
    <w:rsid w:val="50342D48"/>
    <w:rsid w:val="50BC224C"/>
    <w:rsid w:val="51071719"/>
    <w:rsid w:val="54BD3D43"/>
    <w:rsid w:val="5814296E"/>
    <w:rsid w:val="583977A2"/>
    <w:rsid w:val="58421289"/>
    <w:rsid w:val="58D8399B"/>
    <w:rsid w:val="59835FFD"/>
    <w:rsid w:val="5B46726D"/>
    <w:rsid w:val="5B791466"/>
    <w:rsid w:val="5B865931"/>
    <w:rsid w:val="5C7B1A51"/>
    <w:rsid w:val="5D9F0F2C"/>
    <w:rsid w:val="60765F74"/>
    <w:rsid w:val="60D4713E"/>
    <w:rsid w:val="614E031C"/>
    <w:rsid w:val="61965D5C"/>
    <w:rsid w:val="624D7833"/>
    <w:rsid w:val="62E0314B"/>
    <w:rsid w:val="64616F3B"/>
    <w:rsid w:val="65D57BE0"/>
    <w:rsid w:val="65DF6369"/>
    <w:rsid w:val="66D41C46"/>
    <w:rsid w:val="6785570E"/>
    <w:rsid w:val="682B6CCA"/>
    <w:rsid w:val="69CB0E50"/>
    <w:rsid w:val="69DE005C"/>
    <w:rsid w:val="6BBB2341"/>
    <w:rsid w:val="6BCF0C2E"/>
    <w:rsid w:val="6BE97F42"/>
    <w:rsid w:val="6CA9147F"/>
    <w:rsid w:val="6D317DF2"/>
    <w:rsid w:val="6DDA7C61"/>
    <w:rsid w:val="6F3B6D06"/>
    <w:rsid w:val="6FE10BA4"/>
    <w:rsid w:val="6FFD045F"/>
    <w:rsid w:val="7134738B"/>
    <w:rsid w:val="735C5DF0"/>
    <w:rsid w:val="74056CCD"/>
    <w:rsid w:val="74582108"/>
    <w:rsid w:val="74DF0134"/>
    <w:rsid w:val="75236201"/>
    <w:rsid w:val="75A06C50"/>
    <w:rsid w:val="761B3ECD"/>
    <w:rsid w:val="766A1930"/>
    <w:rsid w:val="7754085C"/>
    <w:rsid w:val="799E628B"/>
    <w:rsid w:val="7A41719B"/>
    <w:rsid w:val="7BCA2490"/>
    <w:rsid w:val="7C232FFC"/>
    <w:rsid w:val="7D9F66B2"/>
    <w:rsid w:val="7DC477A3"/>
    <w:rsid w:val="7DF57787"/>
    <w:rsid w:val="7F737E87"/>
    <w:rsid w:val="7F9E0BEB"/>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index 4"/>
    <w:basedOn w:val="1"/>
    <w:next w:val="1"/>
    <w:unhideWhenUsed/>
    <w:qFormat/>
    <w:uiPriority w:val="99"/>
    <w:pPr>
      <w:ind w:left="600" w:leftChars="600"/>
    </w:pPr>
  </w:style>
  <w:style w:type="paragraph" w:styleId="5">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oc 1"/>
    <w:basedOn w:val="1"/>
    <w:next w:val="1"/>
    <w:unhideWhenUsed/>
    <w:qFormat/>
    <w:uiPriority w:val="39"/>
  </w:style>
  <w:style w:type="paragraph" w:styleId="8">
    <w:name w:val="toc 2"/>
    <w:basedOn w:val="1"/>
    <w:next w:val="1"/>
    <w:unhideWhenUsed/>
    <w:qFormat/>
    <w:uiPriority w:val="39"/>
    <w:pPr>
      <w:ind w:left="420" w:leftChars="200"/>
    </w:p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qFormat/>
    <w:uiPriority w:val="99"/>
    <w:rPr>
      <w:sz w:val="18"/>
      <w:szCs w:val="18"/>
    </w:rPr>
  </w:style>
  <w:style w:type="character" w:customStyle="1" w:styleId="15">
    <w:name w:val="标题 1 字符"/>
    <w:basedOn w:val="11"/>
    <w:link w:val="2"/>
    <w:qFormat/>
    <w:uiPriority w:val="9"/>
    <w:rPr>
      <w:rFonts w:ascii="Times New Roman" w:hAnsi="Times New Roman" w:eastAsia="宋体" w:cs="Times New Roman"/>
      <w:b/>
      <w:bCs/>
      <w:kern w:val="44"/>
      <w:sz w:val="44"/>
      <w:szCs w:val="44"/>
    </w:rPr>
  </w:style>
  <w:style w:type="paragraph" w:customStyle="1" w:styleId="1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17">
    <w:name w:val="List Paragraph"/>
    <w:basedOn w:val="1"/>
    <w:qFormat/>
    <w:uiPriority w:val="34"/>
    <w:pPr>
      <w:ind w:firstLine="420" w:firstLineChars="200"/>
    </w:pPr>
  </w:style>
  <w:style w:type="character" w:customStyle="1" w:styleId="18">
    <w:name w:val="font01"/>
    <w:basedOn w:val="11"/>
    <w:qFormat/>
    <w:uiPriority w:val="0"/>
    <w:rPr>
      <w:rFonts w:hint="eastAsia" w:ascii="宋体" w:hAnsi="宋体" w:eastAsia="宋体" w:cs="宋体"/>
      <w:color w:val="000000"/>
      <w:sz w:val="18"/>
      <w:szCs w:val="18"/>
      <w:u w:val="none"/>
    </w:rPr>
  </w:style>
  <w:style w:type="paragraph" w:customStyle="1" w:styleId="19">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4E9DE-36D2-4107-9EFF-7EA592F9D77D}">
  <ds:schemaRefs/>
</ds:datastoreItem>
</file>

<file path=docProps/app.xml><?xml version="1.0" encoding="utf-8"?>
<Properties xmlns="http://schemas.openxmlformats.org/officeDocument/2006/extended-properties" xmlns:vt="http://schemas.openxmlformats.org/officeDocument/2006/docPropsVTypes">
  <Template>Normal</Template>
  <Pages>37</Pages>
  <Words>16258</Words>
  <Characters>19055</Characters>
  <Lines>113</Lines>
  <Paragraphs>31</Paragraphs>
  <TotalTime>1102</TotalTime>
  <ScaleCrop>false</ScaleCrop>
  <LinksUpToDate>false</LinksUpToDate>
  <CharactersWithSpaces>19453</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2023-11-28T08:47:00Z</dcterms:created>
  <dc:creator>T490</dc:creator>
  <cp:lastModifiedBy>Admin</cp:lastModifiedBy>
  <cp:lastPrinted>2022-12-12T02:10:00Z</cp:lastPrinted>
  <dcterms:modified xsi:type="dcterms:W3CDTF">2025-09-28T06:49:08Z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KSOTemplateDocerSaveRecord">
    <vt:lpwstr>eyJoZGlkIjoiNzI1NGY1ZjlmZjUxYTYwYTM3ODNmOTMwMTVlYjNmOWMiLCJ1c2VySWQiOiIxMjcxODYxMDU3In0=</vt:lpwstr>
  </property>
  <property fmtid="{D5CDD505-2E9C-101B-9397-08002B2CF9AE}" pid="4" name="ICV">
    <vt:lpwstr>41496B15D44441828046F24030AA67AB_12</vt:lpwstr>
  </property>
</Properties>
</file>