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560" w:lineRule="exact"/>
        <w:ind w:left="-14"/>
        <w:jc w:val="center"/>
        <w:rPr>
          <w:rFonts w:ascii="仿宋_GB2312" w:eastAsia="仿宋_GB2312" w:hint="eastAsia"/>
          <w:sz w:val="32"/>
        </w:rPr>
      </w:pPr>
    </w:p>
    <w:tbl>
      <w:tblPr>
        <w:tblpPr w:leftFromText="180" w:rightFromText="180" w:vertAnchor="text" w:horzAnchor="page" w:tblpX="8776" w:tblpY="735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</w:tblGrid>
      <w:tr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ind w:leftChars="-20" w:left="-42"/>
              <w:jc w:val="center"/>
              <w:rPr>
                <w:b/>
                <w:color w:val="FF0000"/>
                <w:sz w:val="84"/>
                <w:szCs w:val="84"/>
              </w:rPr>
            </w:pPr>
            <w:r>
              <w:rPr>
                <w:rFonts w:hint="eastAsia"/>
                <w:b/>
                <w:color w:val="FF0000"/>
                <w:sz w:val="84"/>
                <w:szCs w:val="84"/>
              </w:rPr>
              <w:t>文件</w:t>
            </w:r>
          </w:p>
        </w:tc>
      </w:tr>
    </w:tbl>
    <w:p>
      <w:pPr>
        <w:ind w:rightChars="910" w:right="1911"/>
        <w:jc w:val="distribute"/>
        <w:rPr>
          <w:rFonts w:hint="eastAsia"/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南京市交通运输局</w:t>
      </w:r>
    </w:p>
    <w:p>
      <w:pPr>
        <w:ind w:rightChars="910" w:right="1911"/>
        <w:jc w:val="distribute"/>
        <w:rPr>
          <w:rFonts w:hint="eastAsia"/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南京市</w:t>
      </w:r>
      <w:r>
        <w:rPr>
          <w:b/>
          <w:color w:val="FF0000"/>
          <w:sz w:val="84"/>
          <w:szCs w:val="84"/>
        </w:rPr>
        <w:t>公安</w:t>
      </w:r>
      <w:r>
        <w:rPr>
          <w:rFonts w:hint="eastAsia"/>
          <w:b/>
          <w:color w:val="FF0000"/>
          <w:sz w:val="84"/>
          <w:szCs w:val="84"/>
        </w:rPr>
        <w:t>局</w:t>
      </w:r>
    </w:p>
    <w:p>
      <w:pPr>
        <w:snapToGrid w:val="0"/>
        <w:spacing w:line="560" w:lineRule="exact"/>
        <w:ind w:left="-14"/>
        <w:jc w:val="center"/>
        <w:rPr>
          <w:rFonts w:ascii="仿宋_GB2312" w:eastAsia="仿宋_GB2312" w:hint="eastAsia"/>
          <w:sz w:val="32"/>
        </w:rPr>
      </w:pPr>
    </w:p>
    <w:p>
      <w:pPr>
        <w:snapToGrid w:val="0"/>
        <w:spacing w:line="400" w:lineRule="exact"/>
        <w:jc w:val="center"/>
        <w:rPr>
          <w:rFonts w:ascii="仿宋_GB2312" w:eastAsia="仿宋_GB2312" w:hint="eastAsia"/>
          <w:sz w:val="32"/>
        </w:rPr>
      </w:pPr>
    </w:p>
    <w:p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宁交规</w:t>
      </w:r>
      <w:r>
        <w:rPr>
          <w:rFonts w:ascii="仿宋_GB2312" w:eastAsia="仿宋_GB2312" w:hint="eastAsia"/>
          <w:sz w:val="32"/>
          <w:szCs w:val="32"/>
        </w:rPr>
        <w:t>范</w:t>
      </w:r>
      <w:r>
        <w:rPr>
          <w:rFonts w:ascii="仿宋_GB2312" w:eastAsia="仿宋_GB2312" w:hint="eastAsia"/>
          <w:color w:val="000000"/>
          <w:sz w:val="32"/>
          <w:szCs w:val="32"/>
        </w:rPr>
        <w:t>〔2023〕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>
      <w:pPr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lang w:val="en-US" w:eastAsia="zh-CN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column">
                  <wp:posOffset>133347</wp:posOffset>
                </wp:positionH>
                <wp:positionV relativeFrom="paragraph">
                  <wp:posOffset>223548</wp:posOffset>
                </wp:positionV>
                <wp:extent cx="5615940" cy="0"/>
                <wp:effectExtent l="0" t="0" r="0" b="0"/>
                <wp:wrapNone/>
                <wp:docPr id="1" name="直线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0"/>
                        </a:xfrm>
                        <a:prstGeom prst="line"/>
                        <a:noFill/>
                        <a:ln w="952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" o:spid="_x0000_s2" from="10.49984pt,17.602232pt" to="452.69986pt,17.602232pt" filled="f" stroked="t" style="position:absolute;z-index:15;mso-position-horizontal:absolute;mso-position-vertical:absolute;mso-wrap-distance-left:8.999843pt;mso-wrap-distance-right:8.999843pt;visibility:visible;">
                <v:stroke color="#FF0000"/>
              </v:line>
            </w:pict>
          </mc:Fallback>
        </mc:AlternateContent>
      </w:r>
    </w:p>
    <w:p>
      <w:pPr>
        <w:snapToGrid w:val="0"/>
        <w:spacing w:line="560" w:lineRule="exact"/>
        <w:jc w:val="center"/>
        <w:rPr>
          <w:rFonts w:ascii="仿宋_GB2312" w:eastAsia="仿宋_GB2312" w:hint="eastAsia"/>
          <w:sz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关于公布《公共交</w:t>
      </w:r>
      <w:bookmarkStart w:id="0" w:name="_GoBack"/>
      <w:bookmarkEnd w:id="0"/>
      <w:r>
        <w:rPr>
          <w:rFonts w:eastAsia="方正小标宋简体"/>
          <w:sz w:val="44"/>
          <w:szCs w:val="44"/>
        </w:rPr>
        <w:t>通工具禁止携带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含锂电池物品目录》的公告</w:t>
      </w:r>
    </w:p>
    <w:p>
      <w:pPr>
        <w:pStyle w:val="21"/>
        <w:widowControl/>
        <w:shd w:val="clear" w:color="auto" w:fill="FFFFFF"/>
        <w:spacing w:beforeAutospacing="0" w:afterAutospacing="0" w:line="560" w:lineRule="exact"/>
        <w:rPr>
          <w:rFonts w:eastAsia="楷体" w:hint="eastAsia"/>
          <w:color w:val="333333"/>
          <w:szCs w:val="24"/>
          <w:shd w:val="clear" w:color="auto" w:fill="FFFFFF"/>
        </w:rPr>
      </w:pPr>
    </w:p>
    <w:p>
      <w:pPr>
        <w:pStyle w:val="21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根据《中华人民共和国反恐怖主义法》《江苏省公共交通治安管理条例》等法律、法规规定，为切实保障公共交通运营安全，维护广大乘客合法权益，现将《公共交通工具禁止携带含锂电池物品目录》予以公布。</w:t>
      </w:r>
    </w:p>
    <w:p>
      <w:pPr>
        <w:pStyle w:val="21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本公告所称公共交通工具是指</w:t>
      </w:r>
      <w:r>
        <w:rPr>
          <w:rFonts w:eastAsia="仿宋_GB2312"/>
          <w:kern w:val="2"/>
          <w:sz w:val="32"/>
        </w:rPr>
        <w:t>地铁、</w:t>
      </w:r>
      <w:r>
        <w:rPr>
          <w:rFonts w:eastAsia="仿宋_GB2312" w:hint="eastAsia"/>
          <w:kern w:val="2"/>
          <w:sz w:val="32"/>
        </w:rPr>
        <w:t>公共汽</w:t>
      </w:r>
      <w:r>
        <w:rPr>
          <w:rFonts w:eastAsia="仿宋_GB2312"/>
          <w:kern w:val="2"/>
          <w:sz w:val="32"/>
        </w:rPr>
        <w:t>车、现代有轨电车</w:t>
      </w:r>
      <w:r>
        <w:rPr>
          <w:rFonts w:eastAsia="仿宋_GB2312"/>
          <w:sz w:val="32"/>
        </w:rPr>
        <w:t>。公告自2024年1月8日起施行，有效期五年。</w:t>
      </w:r>
    </w:p>
    <w:p>
      <w:pPr>
        <w:pStyle w:val="21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eastAsia="仿宋_GB2312"/>
          <w:kern w:val="2"/>
          <w:sz w:val="32"/>
        </w:rPr>
      </w:pPr>
      <w:r>
        <w:rPr>
          <w:rFonts w:eastAsia="仿宋_GB2312"/>
          <w:kern w:val="2"/>
          <w:sz w:val="32"/>
        </w:rPr>
        <w:t>各运营单位应在运营场所、售票渠道等公示</w:t>
      </w:r>
      <w:r>
        <w:rPr>
          <w:rFonts w:eastAsia="仿宋_GB2312"/>
          <w:sz w:val="32"/>
        </w:rPr>
        <w:t>《公共交通工具禁止携带含锂电池物品目录》</w:t>
      </w:r>
      <w:r>
        <w:rPr>
          <w:rFonts w:eastAsia="仿宋_GB2312"/>
          <w:kern w:val="2"/>
          <w:sz w:val="32"/>
        </w:rPr>
        <w:t>，并依法开展安全检查。乘客应自觉遵守规定，配合安全检查。乘客拒绝配合安全检查或违反规定携带违禁物品的，相关运营单位应当拒绝提供服务；构成违反治安管理行为的，及时向公安机关报告，由公安机关依法处理；构成犯罪的，依法追究刑事责任。</w:t>
      </w:r>
    </w:p>
    <w:p>
      <w:pPr>
        <w:pStyle w:val="21"/>
        <w:widowControl/>
        <w:shd w:val="clear" w:color="auto" w:fill="FFFFFF"/>
        <w:spacing w:beforeAutospacing="0" w:after="225" w:afterAutospacing="0" w:line="560" w:lineRule="exact"/>
        <w:ind w:firstLineChars="231" w:firstLine="739"/>
        <w:rPr>
          <w:rFonts w:eastAsia="仿宋_GB2312"/>
          <w:kern w:val="2"/>
          <w:sz w:val="32"/>
        </w:rPr>
      </w:pPr>
      <w:r>
        <w:rPr>
          <w:rFonts w:eastAsia="仿宋_GB2312"/>
          <w:kern w:val="2"/>
          <w:sz w:val="32"/>
        </w:rPr>
        <w:t>特此公告。</w:t>
      </w:r>
    </w:p>
    <w:p>
      <w:pPr>
        <w:pStyle w:val="16"/>
        <w:tabs>
          <w:tab w:val="center" w:pos="4153"/>
          <w:tab w:val="right" w:pos="8306"/>
        </w:tabs>
        <w:spacing w:line="560" w:lineRule="exact"/>
        <w:rPr>
          <w:sz w:val="32"/>
          <w:szCs w:val="32"/>
        </w:rPr>
      </w:pPr>
    </w:p>
    <w:p>
      <w:pPr>
        <w:pStyle w:val="16"/>
        <w:tabs>
          <w:tab w:val="center" w:pos="4153"/>
          <w:tab w:val="right" w:pos="8306"/>
        </w:tabs>
        <w:spacing w:line="560" w:lineRule="exact"/>
        <w:rPr>
          <w:rFonts w:eastAsia="宋体"/>
          <w:kern w:val="2"/>
          <w:sz w:val="32"/>
          <w:szCs w:val="32"/>
        </w:rPr>
      </w:pPr>
    </w:p>
    <w:p>
      <w:pPr>
        <w:pStyle w:val="16"/>
        <w:tabs>
          <w:tab w:val="center" w:pos="4153"/>
          <w:tab w:val="right" w:pos="8306"/>
        </w:tabs>
        <w:spacing w:line="560" w:lineRule="exact"/>
        <w:rPr>
          <w:rFonts w:eastAsia="宋体"/>
          <w:kern w:val="2"/>
          <w:sz w:val="32"/>
          <w:szCs w:val="32"/>
        </w:rPr>
      </w:pPr>
    </w:p>
    <w:p>
      <w:pPr>
        <w:wordWrap w:val="0"/>
        <w:snapToGrid w:val="0"/>
        <w:spacing w:line="560" w:lineRule="exact"/>
        <w:ind w:right="1179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南京市交通运输局       南京市公安局</w:t>
      </w:r>
    </w:p>
    <w:p>
      <w:pPr>
        <w:wordWrap w:val="0"/>
        <w:snapToGrid w:val="0"/>
        <w:spacing w:line="560" w:lineRule="exact"/>
        <w:ind w:right="99" w:firstLineChars="1700" w:firstLine="5440"/>
        <w:jc w:val="left"/>
        <w:rPr>
          <w:rFonts w:eastAsia="宋体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jc w:val="center"/>
        <w:rPr>
          <w:rFonts w:eastAsia="仿宋_GB2312"/>
        </w:rPr>
      </w:pPr>
      <w:r>
        <w:rPr>
          <w:rFonts w:eastAsia="仿宋_GB2312"/>
        </w:rPr>
        <w:br w:type="page"/>
      </w:r>
      <w:r>
        <w:rPr>
          <w:rFonts w:eastAsia="方正小标宋简体"/>
          <w:sz w:val="44"/>
          <w:szCs w:val="44"/>
        </w:rPr>
        <w:t>公共交通工具禁止携带含锂电池物品目录</w:t>
      </w:r>
    </w:p>
    <w:p>
      <w:pPr>
        <w:pStyle w:val="21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eastAsia="仿宋_GB2312"/>
          <w:kern w:val="2"/>
          <w:sz w:val="32"/>
        </w:rPr>
      </w:pPr>
    </w:p>
    <w:p>
      <w:pPr>
        <w:widowControl/>
        <w:spacing w:line="560" w:lineRule="exact"/>
        <w:ind w:firstLineChars="200" w:firstLine="640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/>
          <w:color w:val="auto"/>
          <w:sz w:val="32"/>
          <w:szCs w:val="32"/>
          <w:shd w:val="clear" w:color="auto" w:fill="FFFFFF"/>
        </w:rPr>
        <w:t>1、</w:t>
      </w:r>
      <w:r>
        <w:rPr>
          <w:rFonts w:ascii="Calibri" w:eastAsia="仿宋_GB2312" w:hAnsi="Calibri"/>
          <w:sz w:val="32"/>
          <w:szCs w:val="32"/>
        </w:rPr>
        <w:t>电动代步工具，包括电动自行车、电动摩托车和电动轻便摩托车、平衡车、电动滑板车</w:t>
      </w:r>
      <w:r>
        <w:rPr>
          <w:rFonts w:ascii="Calibri" w:eastAsia="仿宋_GB2312" w:hAnsi="Calibri"/>
          <w:kern w:val="2"/>
          <w:sz w:val="32"/>
          <w:szCs w:val="32"/>
        </w:rPr>
        <w:t>等（残疾人</w:t>
      </w:r>
      <w:r>
        <w:rPr>
          <w:rFonts w:ascii="Calibri" w:eastAsia="仿宋_GB2312" w:hAnsi="Calibri" w:hint="eastAsia"/>
          <w:kern w:val="2"/>
          <w:sz w:val="32"/>
          <w:szCs w:val="32"/>
        </w:rPr>
        <w:t>本人</w:t>
      </w:r>
      <w:r>
        <w:rPr>
          <w:rFonts w:ascii="Calibri" w:eastAsia="仿宋_GB2312" w:hAnsi="Calibri"/>
          <w:kern w:val="2"/>
          <w:sz w:val="32"/>
          <w:szCs w:val="32"/>
        </w:rPr>
        <w:t>使用的电动轮椅除外）。</w:t>
      </w:r>
    </w:p>
    <w:p>
      <w:pPr>
        <w:widowControl/>
        <w:spacing w:line="560" w:lineRule="exact"/>
        <w:ind w:firstLineChars="200" w:firstLine="640"/>
        <w:rPr>
          <w:rFonts w:ascii="Calibri" w:eastAsia="仿宋_GB2312" w:hAnsi="Calibri" w:hint="eastAsia"/>
          <w:sz w:val="32"/>
          <w:szCs w:val="32"/>
        </w:rPr>
      </w:pPr>
      <w:r>
        <w:rPr>
          <w:rFonts w:ascii="Calibri" w:eastAsia="仿宋_GB2312" w:hAnsi="Calibri"/>
          <w:sz w:val="32"/>
          <w:szCs w:val="32"/>
        </w:rPr>
        <w:t>2、无规范标志标识的锂电池，</w:t>
      </w:r>
      <w:r>
        <w:rPr>
          <w:rFonts w:ascii="Calibri" w:eastAsia="仿宋_GB2312" w:hAnsi="Calibri" w:hint="eastAsia"/>
          <w:sz w:val="32"/>
          <w:szCs w:val="32"/>
        </w:rPr>
        <w:t>或</w:t>
      </w:r>
      <w:r>
        <w:rPr>
          <w:rFonts w:ascii="Calibri" w:eastAsia="仿宋_GB2312" w:hAnsi="Calibri"/>
          <w:sz w:val="32"/>
          <w:szCs w:val="32"/>
        </w:rPr>
        <w:t>单块额定能量超过100Wh的锂电池。（如锂电池未直接标注额定能量Wh，则可以按照</w:t>
      </w:r>
      <w:r>
        <w:rPr>
          <w:rFonts w:ascii="Calibri" w:eastAsia="仿宋_GB2312" w:hAnsi="Calibri"/>
          <w:sz w:val="32"/>
          <w:szCs w:val="32"/>
        </w:rPr>
        <w:drawing>
          <wp:inline distT="0" distB="0" distL="85723" distR="85723">
            <wp:extent cx="1569085" cy="241300"/>
            <wp:effectExtent l="0" t="0" r="39" b="36"/>
            <wp:docPr id="3" name="图片" descr="IMG_2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图片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9085" cy="2413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libri" w:eastAsia="仿宋_GB2312" w:hAnsi="Calibri"/>
          <w:sz w:val="32"/>
          <w:szCs w:val="32"/>
        </w:rPr>
        <w:t>计算）</w:t>
      </w:r>
    </w:p>
    <w:p>
      <w:pPr>
        <w:rPr>
          <w:rFonts w:hint="eastAsia"/>
        </w:rPr>
      </w:pPr>
    </w:p>
    <w:sectPr>
      <w:headerReference w:type="default" r:id="rId2"/>
      <w:headerReference w:type="even" r:id="rId3"/>
      <w:footerReference w:type="default" r:id="rId4"/>
      <w:footerReference w:type="even" r:id="rId5"/>
      <w:pgSz w:w="11906" w:h="16838"/>
      <w:pgMar w:top="1985" w:right="1474" w:bottom="1985" w:left="1588" w:header="851" w:footer="1418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0000000000000000000"/>
    <w:charset w:val="86"/>
    <w:family w:val="auto"/>
    <w:pitch w:val="variable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1683" w:hRule="auto" w:wrap="around" w:vAnchor="text" w:hAnchor="page" w:x="8729" w:y="3" w:anchorLock="0"/>
      <w:tabs>
        <w:tab w:val="center" w:pos="4153"/>
        <w:tab w:val="right" w:pos="8306"/>
      </w:tabs>
      <w:wordWrap w:val="0"/>
      <w:jc w:val="right"/>
      <w:rPr>
        <w:rStyle w:val="17"/>
        <w:rFonts w:hint="eastAsia"/>
        <w:sz w:val="28"/>
      </w:rPr>
    </w:pPr>
    <w:r>
      <w:rPr>
        <w:rStyle w:val="17"/>
        <w:rFonts w:hint="eastAsia"/>
        <w:sz w:val="28"/>
      </w:rPr>
      <w:t>—</w:t>
    </w:r>
    <w:r>
      <w:rPr>
        <w:rStyle w:val="17"/>
        <w:sz w:val="28"/>
      </w:rPr>
      <w:t xml:space="preserve"> </w:t>
    </w:r>
    <w:r>
      <w:rPr>
        <w:rStyle w:val="17"/>
        <w:sz w:val="28"/>
      </w:rPr>
      <w:fldChar w:fldCharType="begin"/>
    </w:r>
    <w:r>
      <w:rPr>
        <w:rStyle w:val="17"/>
        <w:sz w:val="28"/>
      </w:rPr>
      <w:instrText xml:space="preserve">PAGE  </w:instrText>
    </w:r>
    <w:r>
      <w:rPr>
        <w:rStyle w:val="17"/>
        <w:sz w:val="28"/>
      </w:rPr>
      <w:fldChar w:fldCharType="separate"/>
    </w:r>
    <w:r>
      <w:rPr>
        <w:rStyle w:val="17"/>
        <w:sz w:val="28"/>
        <w:lang w:val="en-US" w:eastAsia="zh-CN"/>
      </w:rPr>
      <w:t>2</w:t>
    </w:r>
    <w:r>
      <w:rPr>
        <w:rStyle w:val="17"/>
        <w:sz w:val="28"/>
      </w:rPr>
      <w:fldChar w:fldCharType="end"/>
    </w:r>
    <w:r>
      <w:rPr>
        <w:rStyle w:val="17"/>
        <w:sz w:val="28"/>
      </w:rPr>
      <w:t xml:space="preserve"> </w:t>
    </w:r>
    <w:r>
      <w:rPr>
        <w:rStyle w:val="17"/>
        <w:rFonts w:hint="eastAsia"/>
        <w:sz w:val="28"/>
      </w:rPr>
      <w:t xml:space="preserve">—  </w:t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7"/>
        <w:rFonts w:hint="eastAsia"/>
        <w:sz w:val="28"/>
      </w:rPr>
    </w:pPr>
    <w:r>
      <w:rPr>
        <w:rStyle w:val="17"/>
        <w:rFonts w:hint="eastAsia"/>
        <w:sz w:val="28"/>
      </w:rPr>
      <w:t xml:space="preserve">  —</w:t>
    </w:r>
    <w:r>
      <w:rPr>
        <w:rStyle w:val="17"/>
        <w:sz w:val="28"/>
      </w:rPr>
      <w:t xml:space="preserve"> </w:t>
    </w:r>
    <w:r>
      <w:rPr>
        <w:rStyle w:val="17"/>
        <w:sz w:val="28"/>
      </w:rPr>
      <w:fldChar w:fldCharType="begin"/>
    </w:r>
    <w:r>
      <w:rPr>
        <w:rStyle w:val="17"/>
        <w:sz w:val="28"/>
      </w:rPr>
      <w:instrText xml:space="preserve">PAGE  </w:instrText>
    </w:r>
    <w:r>
      <w:rPr>
        <w:rStyle w:val="17"/>
        <w:sz w:val="28"/>
      </w:rPr>
      <w:fldChar w:fldCharType="separate"/>
    </w:r>
    <w:r>
      <w:rPr>
        <w:rStyle w:val="17"/>
        <w:sz w:val="28"/>
        <w:lang w:val="en-US" w:eastAsia="zh-CN"/>
      </w:rPr>
      <w:t>2</w:t>
    </w:r>
    <w:r>
      <w:rPr>
        <w:rStyle w:val="17"/>
        <w:sz w:val="28"/>
      </w:rPr>
      <w:fldChar w:fldCharType="end"/>
    </w:r>
    <w:r>
      <w:rPr>
        <w:rStyle w:val="17"/>
        <w:sz w:val="28"/>
      </w:rPr>
      <w:t xml:space="preserve"> </w:t>
    </w:r>
    <w:r>
      <w:rPr>
        <w:rStyle w:val="17"/>
        <w:rFonts w:hint="eastAsia"/>
        <w:sz w:val="28"/>
      </w:rPr>
      <w:t>—</w:t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rPr>
      <w:rFonts w:ascii="仿宋_GB2312" w:eastAsia="仿宋_GB2312"/>
      <w:sz w:val="3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7">
    <w:name w:val="page number"/>
    <w:basedOn w:val="10"/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bdr w:val="none" w:sz="0" w:space="0" w:color="auto"/>
    </w:rPr>
  </w:style>
  <w:style w:type="paragraph" w:styleId="19">
    <w:name w:val="Document Map"/>
    <w:basedOn w:val="0"/>
    <w:pPr>
      <w:shd w:val="clear" w:color="auto" w:fill="000080"/>
    </w:pPr>
  </w:style>
  <w:style w:type="paragraph" w:customStyle="1" w:styleId="20">
    <w:name w:val="Char Char Char Char"/>
    <w:basedOn w:val="19"/>
    <w:autoRedefine/>
    <w:rPr>
      <w:rFonts w:ascii="Tahoma" w:cs="Tahoma" w:hAnsi="Tahoma"/>
      <w:sz w:val="24"/>
      <w:szCs w:val="24"/>
      <w:lang w:bidi="ar-SA"/>
    </w:rPr>
  </w:style>
  <w:style w:type="paragraph" w:styleId="21">
    <w:name w:val="Normal (Web)"/>
    <w:basedOn w:val="0"/>
    <w:next w:val="16"/>
    <w:pPr>
      <w:widowControl w:val="0"/>
      <w:spacing w:beforeAutospacing="1" w:afterAutospacing="1"/>
      <w:jc w:val="left"/>
    </w:pPr>
    <w:rPr>
      <w:rFonts w:ascii="Calibri" w:eastAsia="方正仿宋_GBK" w:cs="Times New Roman" w:hAnsi="Calibri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4.png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86</TotalTime>
  <Application>Yozo_Office27021597764231179</Application>
  <Pages>3</Pages>
  <Words>498</Words>
  <Characters>513</Characters>
  <Lines>38</Lines>
  <Paragraphs>15</Paragraphs>
  <CharactersWithSpaces>520</CharactersWithSpaces>
  <Company>NJJT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文件</dc:title>
  <dc:creator>徐卫民</dc:creator>
  <cp:lastModifiedBy>徐卫民</cp:lastModifiedBy>
  <cp:revision>7</cp:revision>
  <cp:lastPrinted>2023-12-05T09:00:49Z</cp:lastPrinted>
  <dcterms:created xsi:type="dcterms:W3CDTF">2017-01-04T02:28:00Z</dcterms:created>
  <dcterms:modified xsi:type="dcterms:W3CDTF">2023-12-05T09:05:04Z</dcterms:modified>
</cp:coreProperties>
</file>