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Lines="100" w:after="480" w:afterLines="200"/>
        <w:rPr>
          <w:rFonts w:hint="eastAsia" w:hAnsi="黑体" w:cs="黑体"/>
          <w:b w:val="0"/>
          <w:bCs w:val="0"/>
        </w:rPr>
      </w:pPr>
      <w:bookmarkStart w:id="0" w:name="_Toc121836011"/>
      <w:bookmarkStart w:id="1" w:name="_Toc121836097"/>
      <w:bookmarkStart w:id="2" w:name="_Toc117602250"/>
      <w:r>
        <w:rPr>
          <w:rFonts w:hint="eastAsia" w:ascii="方正小标宋简体" w:eastAsia="方正小标宋简体"/>
          <w:b w:val="0"/>
          <w:sz w:val="44"/>
          <w:szCs w:val="44"/>
        </w:rPr>
        <w:t>南京市交通运输局港口突发事件                 应急救援预案</w:t>
      </w:r>
      <w:bookmarkEnd w:id="0"/>
      <w:bookmarkEnd w:id="1"/>
      <w:bookmarkStart w:id="3" w:name="_Toc120029190"/>
    </w:p>
    <w:p>
      <w:pPr>
        <w:pStyle w:val="2"/>
        <w:snapToGrid w:val="0"/>
        <w:spacing w:line="560" w:lineRule="atLeast"/>
        <w:ind w:firstLine="640" w:firstLineChars="200"/>
        <w:rPr>
          <w:b w:val="0"/>
          <w:bCs w:val="0"/>
          <w:szCs w:val="32"/>
        </w:rPr>
      </w:pPr>
      <w:bookmarkStart w:id="4" w:name="_Toc121836012"/>
      <w:bookmarkStart w:id="5" w:name="_Toc121836098"/>
      <w:bookmarkStart w:id="6" w:name="_Toc121478011"/>
      <w:r>
        <w:rPr>
          <w:b w:val="0"/>
          <w:bCs w:val="0"/>
          <w:szCs w:val="32"/>
        </w:rPr>
        <w:t>1 总则</w:t>
      </w:r>
      <w:bookmarkEnd w:id="4"/>
      <w:bookmarkEnd w:id="5"/>
      <w:bookmarkEnd w:id="6"/>
    </w:p>
    <w:p>
      <w:pPr>
        <w:pStyle w:val="3"/>
        <w:snapToGrid w:val="0"/>
        <w:spacing w:line="560" w:lineRule="atLeast"/>
        <w:ind w:firstLine="640" w:firstLineChars="200"/>
        <w:rPr>
          <w:rFonts w:eastAsia="楷体"/>
          <w:b w:val="0"/>
          <w:bCs w:val="0"/>
          <w:sz w:val="32"/>
        </w:rPr>
      </w:pPr>
      <w:bookmarkStart w:id="7" w:name="_Toc121478012"/>
      <w:r>
        <w:rPr>
          <w:rFonts w:eastAsia="楷体"/>
          <w:b w:val="0"/>
          <w:bCs w:val="0"/>
          <w:sz w:val="32"/>
        </w:rPr>
        <w:t>1.1编制目的</w:t>
      </w:r>
      <w:bookmarkEnd w:id="7"/>
    </w:p>
    <w:p>
      <w:pPr>
        <w:snapToGrid w:val="0"/>
        <w:spacing w:line="560" w:lineRule="exact"/>
        <w:ind w:firstLine="640" w:firstLineChars="200"/>
        <w:rPr>
          <w:rFonts w:eastAsia="仿宋_GB2312"/>
          <w:sz w:val="32"/>
          <w:szCs w:val="32"/>
        </w:rPr>
      </w:pPr>
      <w:r>
        <w:rPr>
          <w:rFonts w:eastAsia="仿宋_GB2312"/>
          <w:sz w:val="32"/>
          <w:szCs w:val="32"/>
        </w:rPr>
        <w:t>为减轻和控制南京市港口经营单位发生突发事件引起的社会危害，规范南京市港口突发事件的应急管理和应急响应程序，指导全市交通运输港口行业领域相关部门、企业、应急组织和人员采取有效的预警和应急措施，全面提高应对突发事件的快速反应能力、应急处置能力和保障服务能力，及时、有序、高效地组织和实施救援，促进南京港口的安全、畅通、稳定和可持续发展，最大程度保障人民生命财产安全，维护公共安全和社会稳定，促进全市经济社会安全和谐发展，制定本预案。</w:t>
      </w:r>
    </w:p>
    <w:p>
      <w:pPr>
        <w:pStyle w:val="3"/>
        <w:snapToGrid w:val="0"/>
        <w:spacing w:line="560" w:lineRule="atLeast"/>
        <w:ind w:firstLine="640" w:firstLineChars="200"/>
        <w:rPr>
          <w:rFonts w:eastAsia="楷体"/>
          <w:b w:val="0"/>
          <w:bCs w:val="0"/>
          <w:sz w:val="32"/>
        </w:rPr>
      </w:pPr>
      <w:bookmarkStart w:id="8" w:name="_Toc121478013"/>
      <w:r>
        <w:rPr>
          <w:rFonts w:eastAsia="楷体"/>
          <w:b w:val="0"/>
          <w:bCs w:val="0"/>
          <w:sz w:val="32"/>
        </w:rPr>
        <w:t>1.2编制依据</w:t>
      </w:r>
      <w:bookmarkEnd w:id="8"/>
    </w:p>
    <w:p>
      <w:pPr>
        <w:snapToGrid w:val="0"/>
        <w:spacing w:line="560" w:lineRule="exact"/>
        <w:ind w:firstLine="640" w:firstLineChars="200"/>
        <w:rPr>
          <w:rFonts w:eastAsia="仿宋_GB2312"/>
          <w:sz w:val="32"/>
          <w:szCs w:val="32"/>
        </w:rPr>
      </w:pPr>
      <w:r>
        <w:rPr>
          <w:rFonts w:eastAsia="仿宋_GB2312"/>
          <w:sz w:val="32"/>
          <w:szCs w:val="32"/>
        </w:rPr>
        <w:t>1.2.1 国家法律</w:t>
      </w:r>
    </w:p>
    <w:p>
      <w:pPr>
        <w:snapToGrid w:val="0"/>
        <w:spacing w:line="560" w:lineRule="exact"/>
        <w:ind w:firstLine="640" w:firstLineChars="200"/>
        <w:rPr>
          <w:rFonts w:eastAsia="仿宋_GB2312"/>
          <w:sz w:val="32"/>
          <w:szCs w:val="32"/>
        </w:rPr>
      </w:pPr>
      <w:r>
        <w:rPr>
          <w:rFonts w:eastAsia="仿宋_GB2312"/>
          <w:sz w:val="32"/>
          <w:szCs w:val="32"/>
        </w:rPr>
        <w:t>（1）《中华人民共和国安全生产法》（主席令[2021]第88号）；</w:t>
      </w:r>
    </w:p>
    <w:p>
      <w:pPr>
        <w:snapToGrid w:val="0"/>
        <w:spacing w:line="560" w:lineRule="exact"/>
        <w:ind w:firstLine="640" w:firstLineChars="200"/>
        <w:rPr>
          <w:rFonts w:eastAsia="仿宋_GB2312"/>
          <w:sz w:val="32"/>
          <w:szCs w:val="32"/>
        </w:rPr>
      </w:pPr>
      <w:r>
        <w:rPr>
          <w:rFonts w:eastAsia="仿宋_GB2312"/>
          <w:sz w:val="32"/>
          <w:szCs w:val="32"/>
        </w:rPr>
        <w:t>（2）《中华人民共和国港口法》（2018年第十三届全国人民代表大会常务委员会第七次会议第三次修正）；</w:t>
      </w:r>
    </w:p>
    <w:p>
      <w:pPr>
        <w:snapToGrid w:val="0"/>
        <w:spacing w:line="560" w:lineRule="exact"/>
        <w:ind w:firstLine="640" w:firstLineChars="200"/>
        <w:rPr>
          <w:rFonts w:eastAsia="仿宋_GB2312"/>
          <w:sz w:val="32"/>
          <w:szCs w:val="32"/>
        </w:rPr>
      </w:pPr>
      <w:r>
        <w:rPr>
          <w:rFonts w:eastAsia="仿宋_GB2312"/>
          <w:sz w:val="32"/>
          <w:szCs w:val="32"/>
        </w:rPr>
        <w:t>（3）《中华人民共和国突发事件应对法》（主席令[2007]第69号）；</w:t>
      </w:r>
    </w:p>
    <w:p>
      <w:pPr>
        <w:snapToGrid w:val="0"/>
        <w:spacing w:line="560" w:lineRule="exact"/>
        <w:ind w:firstLine="640" w:firstLineChars="200"/>
        <w:rPr>
          <w:rFonts w:eastAsia="仿宋_GB2312"/>
          <w:sz w:val="32"/>
          <w:szCs w:val="32"/>
        </w:rPr>
      </w:pPr>
      <w:r>
        <w:rPr>
          <w:rFonts w:eastAsia="仿宋_GB2312"/>
          <w:sz w:val="32"/>
          <w:szCs w:val="32"/>
        </w:rPr>
        <w:t>1.2.2 国务院行政法规</w:t>
      </w:r>
    </w:p>
    <w:p>
      <w:pPr>
        <w:snapToGrid w:val="0"/>
        <w:spacing w:line="560" w:lineRule="exact"/>
        <w:ind w:firstLine="640" w:firstLineChars="200"/>
        <w:rPr>
          <w:rFonts w:eastAsia="仿宋_GB2312"/>
          <w:sz w:val="32"/>
          <w:szCs w:val="32"/>
        </w:rPr>
      </w:pPr>
      <w:r>
        <w:rPr>
          <w:rFonts w:eastAsia="仿宋_GB2312"/>
          <w:sz w:val="32"/>
          <w:szCs w:val="32"/>
        </w:rPr>
        <w:t>（1）《突发事件应急预案管理办法》（国办发[2013]101号）；</w:t>
      </w:r>
    </w:p>
    <w:p>
      <w:pPr>
        <w:snapToGrid w:val="0"/>
        <w:spacing w:line="560" w:lineRule="exact"/>
        <w:ind w:firstLine="640" w:firstLineChars="200"/>
        <w:rPr>
          <w:rFonts w:eastAsia="仿宋_GB2312"/>
          <w:sz w:val="32"/>
          <w:szCs w:val="32"/>
        </w:rPr>
      </w:pPr>
      <w:r>
        <w:rPr>
          <w:rFonts w:eastAsia="仿宋_GB2312"/>
          <w:sz w:val="32"/>
          <w:szCs w:val="32"/>
        </w:rPr>
        <w:t>（2）《生产安全事故应急条例》（国务院令[2019]第708号）；</w:t>
      </w:r>
    </w:p>
    <w:p>
      <w:pPr>
        <w:snapToGrid w:val="0"/>
        <w:spacing w:line="560" w:lineRule="exact"/>
        <w:ind w:firstLine="640" w:firstLineChars="200"/>
        <w:rPr>
          <w:rFonts w:eastAsia="仿宋_GB2312"/>
          <w:sz w:val="32"/>
          <w:szCs w:val="32"/>
        </w:rPr>
      </w:pPr>
      <w:r>
        <w:rPr>
          <w:rFonts w:eastAsia="仿宋_GB2312"/>
          <w:sz w:val="32"/>
          <w:szCs w:val="32"/>
        </w:rPr>
        <w:t>1.2.3 部委及行业规章、规定</w:t>
      </w:r>
    </w:p>
    <w:p>
      <w:pPr>
        <w:snapToGrid w:val="0"/>
        <w:spacing w:line="560" w:lineRule="exact"/>
        <w:ind w:firstLine="640" w:firstLineChars="200"/>
        <w:rPr>
          <w:rFonts w:eastAsia="仿宋_GB2312"/>
          <w:sz w:val="32"/>
          <w:szCs w:val="32"/>
        </w:rPr>
      </w:pPr>
      <w:r>
        <w:rPr>
          <w:rFonts w:eastAsia="仿宋_GB2312"/>
          <w:sz w:val="32"/>
          <w:szCs w:val="32"/>
        </w:rPr>
        <w:t>（1）《交通运输突发事件应急管理规定》（交通运输部令[2011]第9号）；</w:t>
      </w:r>
    </w:p>
    <w:p>
      <w:pPr>
        <w:snapToGrid w:val="0"/>
        <w:spacing w:line="560" w:lineRule="exact"/>
        <w:ind w:firstLine="640" w:firstLineChars="200"/>
        <w:rPr>
          <w:rFonts w:eastAsia="仿宋_GB2312"/>
          <w:sz w:val="32"/>
          <w:szCs w:val="32"/>
        </w:rPr>
      </w:pPr>
      <w:r>
        <w:rPr>
          <w:rFonts w:eastAsia="仿宋_GB2312"/>
          <w:sz w:val="32"/>
          <w:szCs w:val="32"/>
        </w:rPr>
        <w:t xml:space="preserve">（2）《生产安全事故应急预案管理办法》（应急管理部令[2019]第2号）； </w:t>
      </w:r>
    </w:p>
    <w:p>
      <w:pPr>
        <w:snapToGrid w:val="0"/>
        <w:spacing w:line="560" w:lineRule="exact"/>
        <w:ind w:firstLine="640" w:firstLineChars="200"/>
        <w:rPr>
          <w:rFonts w:eastAsia="仿宋_GB2312"/>
          <w:sz w:val="32"/>
          <w:szCs w:val="32"/>
        </w:rPr>
      </w:pPr>
      <w:r>
        <w:rPr>
          <w:rFonts w:eastAsia="仿宋_GB2312"/>
          <w:sz w:val="32"/>
          <w:szCs w:val="32"/>
        </w:rPr>
        <w:t>（3）《生产安全事故信息报告和处置办法》（国家安全生产监督管理总局令[2009]第21号）；</w:t>
      </w:r>
    </w:p>
    <w:p>
      <w:pPr>
        <w:snapToGrid w:val="0"/>
        <w:spacing w:line="560" w:lineRule="exact"/>
        <w:ind w:firstLine="640" w:firstLineChars="200"/>
        <w:rPr>
          <w:rFonts w:eastAsia="仿宋_GB2312"/>
          <w:sz w:val="32"/>
          <w:szCs w:val="32"/>
        </w:rPr>
      </w:pPr>
      <w:r>
        <w:rPr>
          <w:rFonts w:eastAsia="仿宋_GB2312"/>
          <w:sz w:val="32"/>
          <w:szCs w:val="32"/>
        </w:rPr>
        <w:t>1.2.4 地方性法规及文件</w:t>
      </w:r>
    </w:p>
    <w:p>
      <w:pPr>
        <w:snapToGrid w:val="0"/>
        <w:spacing w:line="560" w:lineRule="exact"/>
        <w:ind w:firstLine="640" w:firstLineChars="200"/>
        <w:rPr>
          <w:rFonts w:eastAsia="仿宋_GB2312"/>
          <w:sz w:val="32"/>
          <w:szCs w:val="32"/>
        </w:rPr>
      </w:pPr>
      <w:r>
        <w:rPr>
          <w:rFonts w:eastAsia="仿宋_GB2312"/>
          <w:sz w:val="32"/>
          <w:szCs w:val="32"/>
        </w:rPr>
        <w:t>（1）《省政府办公厅关于印发江苏省突发事件应急预案管理办法的通知》（苏政办发[2012]153号）；</w:t>
      </w:r>
    </w:p>
    <w:p>
      <w:pPr>
        <w:snapToGrid w:val="0"/>
        <w:spacing w:line="560" w:lineRule="exact"/>
        <w:ind w:firstLine="640" w:firstLineChars="200"/>
        <w:rPr>
          <w:rFonts w:eastAsia="仿宋_GB2312"/>
          <w:sz w:val="32"/>
          <w:szCs w:val="32"/>
        </w:rPr>
      </w:pPr>
      <w:r>
        <w:rPr>
          <w:rFonts w:eastAsia="仿宋_GB2312"/>
          <w:sz w:val="32"/>
          <w:szCs w:val="32"/>
        </w:rPr>
        <w:t>（2）《关于进一步规范生产安全事故信息报送及处置工作的通知》（苏安[2015]20号）；</w:t>
      </w:r>
    </w:p>
    <w:p>
      <w:pPr>
        <w:snapToGrid w:val="0"/>
        <w:spacing w:line="560" w:lineRule="exact"/>
        <w:ind w:firstLine="640" w:firstLineChars="200"/>
        <w:rPr>
          <w:rFonts w:eastAsia="仿宋_GB2312"/>
          <w:sz w:val="32"/>
          <w:szCs w:val="32"/>
        </w:rPr>
      </w:pPr>
      <w:r>
        <w:rPr>
          <w:rFonts w:eastAsia="仿宋_GB2312"/>
          <w:sz w:val="32"/>
          <w:szCs w:val="32"/>
        </w:rPr>
        <w:t xml:space="preserve">（3）《市政府办公厅关于做好安全生产突发事件信息报送和应急处置工作的通知》（宁政办发[2016]100号）； </w:t>
      </w:r>
    </w:p>
    <w:p>
      <w:pPr>
        <w:snapToGrid w:val="0"/>
        <w:spacing w:line="560" w:lineRule="exact"/>
        <w:ind w:firstLine="640" w:firstLineChars="200"/>
        <w:rPr>
          <w:rFonts w:eastAsia="仿宋_GB2312"/>
          <w:sz w:val="32"/>
          <w:szCs w:val="32"/>
        </w:rPr>
      </w:pPr>
      <w:r>
        <w:rPr>
          <w:rFonts w:eastAsia="仿宋_GB2312"/>
          <w:sz w:val="32"/>
          <w:szCs w:val="32"/>
        </w:rPr>
        <w:t>（4）《市政府办公厅关于印发南京市突发事件预警信息发布管理办法的通知》（宁政办发[2017]166号）；</w:t>
      </w:r>
    </w:p>
    <w:p>
      <w:pPr>
        <w:snapToGrid w:val="0"/>
        <w:spacing w:line="560" w:lineRule="exact"/>
        <w:ind w:firstLine="640" w:firstLineChars="200"/>
        <w:rPr>
          <w:rFonts w:eastAsia="仿宋_GB2312"/>
          <w:sz w:val="32"/>
          <w:szCs w:val="32"/>
        </w:rPr>
      </w:pPr>
      <w:r>
        <w:rPr>
          <w:rFonts w:eastAsia="仿宋_GB2312"/>
          <w:sz w:val="32"/>
          <w:szCs w:val="32"/>
        </w:rPr>
        <w:t>1.2.5 政府相关预案</w:t>
      </w:r>
    </w:p>
    <w:p>
      <w:pPr>
        <w:snapToGrid w:val="0"/>
        <w:spacing w:line="560" w:lineRule="exact"/>
        <w:ind w:firstLine="640" w:firstLineChars="200"/>
        <w:rPr>
          <w:rFonts w:eastAsia="仿宋_GB2312"/>
          <w:sz w:val="32"/>
          <w:szCs w:val="32"/>
        </w:rPr>
      </w:pPr>
      <w:r>
        <w:rPr>
          <w:rFonts w:eastAsia="仿宋_GB2312"/>
          <w:sz w:val="32"/>
          <w:szCs w:val="32"/>
        </w:rPr>
        <w:t>（1）《国家地震应急预案》（2012年8月28日修订）；</w:t>
      </w:r>
    </w:p>
    <w:p>
      <w:pPr>
        <w:snapToGrid w:val="0"/>
        <w:spacing w:line="560" w:lineRule="exact"/>
        <w:ind w:firstLine="640" w:firstLineChars="200"/>
        <w:rPr>
          <w:rFonts w:eastAsia="仿宋_GB2312"/>
          <w:sz w:val="32"/>
          <w:szCs w:val="32"/>
        </w:rPr>
      </w:pPr>
      <w:r>
        <w:rPr>
          <w:rFonts w:eastAsia="仿宋_GB2312"/>
          <w:sz w:val="32"/>
          <w:szCs w:val="32"/>
        </w:rPr>
        <w:t>（2）《江苏省港口危化品事故应急预案》（苏政办函[2022]14号）；</w:t>
      </w:r>
    </w:p>
    <w:p>
      <w:pPr>
        <w:snapToGrid w:val="0"/>
        <w:spacing w:line="560" w:lineRule="exact"/>
        <w:ind w:firstLine="640" w:firstLineChars="200"/>
        <w:rPr>
          <w:rFonts w:eastAsia="仿宋_GB2312"/>
          <w:sz w:val="32"/>
          <w:szCs w:val="32"/>
        </w:rPr>
      </w:pPr>
      <w:r>
        <w:rPr>
          <w:rFonts w:eastAsia="仿宋_GB2312"/>
          <w:sz w:val="32"/>
          <w:szCs w:val="32"/>
        </w:rPr>
        <w:t>（3）《江苏省港口突发事件应急预案》；</w:t>
      </w:r>
    </w:p>
    <w:p>
      <w:pPr>
        <w:snapToGrid w:val="0"/>
        <w:spacing w:line="560" w:lineRule="exact"/>
        <w:ind w:firstLine="640" w:firstLineChars="200"/>
        <w:rPr>
          <w:rFonts w:eastAsia="仿宋_GB2312"/>
          <w:sz w:val="32"/>
          <w:szCs w:val="32"/>
        </w:rPr>
      </w:pPr>
      <w:r>
        <w:rPr>
          <w:rFonts w:eastAsia="仿宋_GB2312"/>
          <w:sz w:val="32"/>
          <w:szCs w:val="32"/>
        </w:rPr>
        <w:t>（4）《江苏省防汛抗旱应急预案》（苏政办发[2022]66号）；</w:t>
      </w:r>
    </w:p>
    <w:p>
      <w:pPr>
        <w:snapToGrid w:val="0"/>
        <w:spacing w:line="560" w:lineRule="exact"/>
        <w:ind w:firstLine="640" w:firstLineChars="200"/>
        <w:rPr>
          <w:rFonts w:eastAsia="仿宋_GB2312"/>
          <w:sz w:val="32"/>
          <w:szCs w:val="32"/>
        </w:rPr>
      </w:pPr>
      <w:r>
        <w:rPr>
          <w:rFonts w:eastAsia="仿宋_GB2312"/>
          <w:sz w:val="32"/>
          <w:szCs w:val="32"/>
        </w:rPr>
        <w:t>（5）《江苏省内河船舶污染事故应急预案》；</w:t>
      </w:r>
    </w:p>
    <w:p>
      <w:pPr>
        <w:snapToGrid w:val="0"/>
        <w:spacing w:line="560" w:lineRule="exact"/>
        <w:ind w:firstLine="640" w:firstLineChars="200"/>
        <w:rPr>
          <w:rFonts w:eastAsia="仿宋_GB2312"/>
          <w:sz w:val="32"/>
          <w:szCs w:val="32"/>
        </w:rPr>
      </w:pPr>
      <w:r>
        <w:rPr>
          <w:rFonts w:eastAsia="仿宋_GB2312"/>
          <w:sz w:val="32"/>
          <w:szCs w:val="32"/>
        </w:rPr>
        <w:t>（6）《南京市港口突发事件应急救援预案》（宁政办发[2020]22号）；</w:t>
      </w:r>
    </w:p>
    <w:p>
      <w:pPr>
        <w:snapToGrid w:val="0"/>
        <w:spacing w:line="560" w:lineRule="exact"/>
        <w:ind w:firstLine="640" w:firstLineChars="200"/>
        <w:rPr>
          <w:rFonts w:eastAsia="仿宋_GB2312"/>
          <w:sz w:val="32"/>
          <w:szCs w:val="32"/>
        </w:rPr>
      </w:pPr>
      <w:r>
        <w:rPr>
          <w:rFonts w:eastAsia="仿宋_GB2312"/>
          <w:sz w:val="32"/>
          <w:szCs w:val="32"/>
        </w:rPr>
        <w:t>（7）《南京市交通运输执法系统突发事件总体应急预案》（宁政办发[2020]42号）。</w:t>
      </w:r>
    </w:p>
    <w:p>
      <w:pPr>
        <w:pStyle w:val="3"/>
        <w:snapToGrid w:val="0"/>
        <w:spacing w:line="560" w:lineRule="atLeast"/>
        <w:ind w:firstLine="640" w:firstLineChars="200"/>
        <w:rPr>
          <w:rFonts w:eastAsia="楷体"/>
          <w:b w:val="0"/>
          <w:bCs w:val="0"/>
          <w:sz w:val="32"/>
        </w:rPr>
      </w:pPr>
      <w:bookmarkStart w:id="9" w:name="_Toc121478014"/>
      <w:r>
        <w:rPr>
          <w:rFonts w:eastAsia="楷体"/>
          <w:b w:val="0"/>
          <w:bCs w:val="0"/>
          <w:sz w:val="32"/>
        </w:rPr>
        <w:t>1.3工作原则</w:t>
      </w:r>
      <w:bookmarkEnd w:id="9"/>
    </w:p>
    <w:p>
      <w:pPr>
        <w:snapToGrid w:val="0"/>
        <w:spacing w:line="560" w:lineRule="exact"/>
        <w:ind w:firstLine="640" w:firstLineChars="200"/>
        <w:rPr>
          <w:rFonts w:eastAsia="仿宋_GB2312"/>
          <w:sz w:val="32"/>
          <w:szCs w:val="32"/>
        </w:rPr>
      </w:pPr>
      <w:r>
        <w:rPr>
          <w:rFonts w:eastAsia="仿宋_GB2312"/>
          <w:sz w:val="32"/>
          <w:szCs w:val="32"/>
        </w:rPr>
        <w:t>（1）统一领导、分级负责。在南京市交通运输局的统一领导下，建立健全分级负责的应急管理体制。</w:t>
      </w:r>
    </w:p>
    <w:p>
      <w:pPr>
        <w:snapToGrid w:val="0"/>
        <w:spacing w:line="560" w:lineRule="exact"/>
        <w:ind w:firstLine="640" w:firstLineChars="200"/>
        <w:rPr>
          <w:rFonts w:eastAsia="仿宋_GB2312"/>
          <w:sz w:val="32"/>
          <w:szCs w:val="32"/>
        </w:rPr>
      </w:pPr>
      <w:r>
        <w:rPr>
          <w:rFonts w:eastAsia="仿宋_GB2312"/>
          <w:sz w:val="32"/>
          <w:szCs w:val="32"/>
        </w:rPr>
        <w:t>（2）统筹安排、分工合作。港口行业安全监管及应急处置相关的各单位（部门）、各港口企业以及相关应急保障单位强化联动协调，保持应急资源共享，建立相互衔接的应急分工合作机制。</w:t>
      </w:r>
    </w:p>
    <w:p>
      <w:pPr>
        <w:snapToGrid w:val="0"/>
        <w:spacing w:line="560" w:lineRule="exact"/>
        <w:ind w:firstLine="640" w:firstLineChars="200"/>
        <w:rPr>
          <w:rFonts w:eastAsia="仿宋_GB2312"/>
          <w:sz w:val="32"/>
          <w:szCs w:val="32"/>
        </w:rPr>
      </w:pPr>
      <w:r>
        <w:rPr>
          <w:rFonts w:eastAsia="仿宋_GB2312"/>
          <w:sz w:val="32"/>
          <w:szCs w:val="32"/>
        </w:rPr>
        <w:t>（3）预防为主、综合治理。全面开展培训、宣贯和演练工作，采取切实预防措施，综合治理安全隐患，保障应急救援及时、准确、高效。</w:t>
      </w:r>
    </w:p>
    <w:p>
      <w:pPr>
        <w:snapToGrid w:val="0"/>
        <w:spacing w:line="560" w:lineRule="exact"/>
        <w:ind w:firstLine="640" w:firstLineChars="200"/>
        <w:rPr>
          <w:rFonts w:eastAsia="仿宋_GB2312"/>
          <w:sz w:val="32"/>
          <w:szCs w:val="32"/>
        </w:rPr>
      </w:pPr>
      <w:r>
        <w:rPr>
          <w:rFonts w:eastAsia="仿宋_GB2312"/>
          <w:sz w:val="32"/>
          <w:szCs w:val="32"/>
        </w:rPr>
        <w:t>（4）依靠科技、加强管控。依托科技手段，加强突发事件的预测、预警、监测和应急救援，有效避免或控制突发事件造成的损失。</w:t>
      </w:r>
    </w:p>
    <w:p>
      <w:pPr>
        <w:pStyle w:val="3"/>
        <w:snapToGrid w:val="0"/>
        <w:spacing w:line="560" w:lineRule="atLeast"/>
        <w:ind w:firstLine="640" w:firstLineChars="200"/>
        <w:rPr>
          <w:rFonts w:eastAsia="楷体"/>
          <w:b w:val="0"/>
          <w:bCs w:val="0"/>
          <w:sz w:val="32"/>
        </w:rPr>
      </w:pPr>
      <w:bookmarkStart w:id="10" w:name="_Toc121478015"/>
      <w:r>
        <w:rPr>
          <w:rFonts w:eastAsia="楷体"/>
          <w:b w:val="0"/>
          <w:bCs w:val="0"/>
          <w:sz w:val="32"/>
        </w:rPr>
        <w:t>1.4适用范围</w:t>
      </w:r>
      <w:bookmarkEnd w:id="10"/>
    </w:p>
    <w:p>
      <w:pPr>
        <w:snapToGrid w:val="0"/>
        <w:spacing w:line="560" w:lineRule="exact"/>
        <w:ind w:firstLine="640" w:firstLineChars="200"/>
        <w:rPr>
          <w:rFonts w:eastAsia="仿宋_GB2312"/>
          <w:sz w:val="32"/>
          <w:szCs w:val="32"/>
        </w:rPr>
      </w:pPr>
      <w:r>
        <w:rPr>
          <w:rFonts w:eastAsia="仿宋_GB2312"/>
          <w:sz w:val="32"/>
          <w:szCs w:val="32"/>
        </w:rPr>
        <w:t>本预案适用于发生在南京市行政区域范围内Ⅳ级港口突发事件的应急响应，支撑Ⅰ级、Ⅱ级、Ⅲ级港口突发事件的应急响应。</w:t>
      </w:r>
    </w:p>
    <w:p>
      <w:pPr>
        <w:snapToGrid w:val="0"/>
        <w:spacing w:line="560" w:lineRule="exact"/>
        <w:ind w:firstLine="640" w:firstLineChars="200"/>
        <w:rPr>
          <w:rFonts w:eastAsia="仿宋_GB2312"/>
          <w:sz w:val="32"/>
          <w:szCs w:val="32"/>
        </w:rPr>
      </w:pPr>
      <w:r>
        <w:rPr>
          <w:rFonts w:eastAsia="仿宋_GB2312"/>
          <w:sz w:val="32"/>
          <w:szCs w:val="32"/>
        </w:rPr>
        <w:t>各区交通运输主管部门应参照本预案制定本辖区内的港口突发事件应急预案以作为本预案的支撑，并开展辖区内（长江港口除外）的内河港口突发事件的应急救援工作。</w:t>
      </w:r>
    </w:p>
    <w:p>
      <w:pPr>
        <w:snapToGrid w:val="0"/>
        <w:spacing w:line="560" w:lineRule="exact"/>
        <w:ind w:firstLine="640" w:firstLineChars="200"/>
        <w:rPr>
          <w:rFonts w:eastAsia="仿宋_GB2312"/>
          <w:sz w:val="32"/>
          <w:szCs w:val="32"/>
        </w:rPr>
      </w:pPr>
      <w:r>
        <w:rPr>
          <w:rFonts w:eastAsia="仿宋_GB2312"/>
          <w:sz w:val="32"/>
          <w:szCs w:val="32"/>
        </w:rPr>
        <w:t>法律、法规、规章、上级人民政府相关突发事件应急预案及南京市已发布相应专项预案另有规定的，从其规定。</w:t>
      </w:r>
    </w:p>
    <w:p>
      <w:pPr>
        <w:pStyle w:val="3"/>
        <w:snapToGrid w:val="0"/>
        <w:spacing w:line="560" w:lineRule="atLeast"/>
        <w:ind w:firstLine="640" w:firstLineChars="200"/>
        <w:rPr>
          <w:rFonts w:eastAsia="楷体"/>
          <w:b w:val="0"/>
          <w:bCs w:val="0"/>
          <w:sz w:val="32"/>
        </w:rPr>
      </w:pPr>
      <w:bookmarkStart w:id="11" w:name="_Toc121478016"/>
      <w:r>
        <w:rPr>
          <w:rFonts w:eastAsia="楷体"/>
          <w:b w:val="0"/>
          <w:bCs w:val="0"/>
          <w:sz w:val="32"/>
        </w:rPr>
        <w:t>1.5应急预案体系</w:t>
      </w:r>
      <w:bookmarkEnd w:id="11"/>
    </w:p>
    <w:p>
      <w:pPr>
        <w:snapToGrid w:val="0"/>
        <w:spacing w:line="560" w:lineRule="exact"/>
        <w:ind w:firstLine="640" w:firstLineChars="200"/>
        <w:rPr>
          <w:rFonts w:eastAsia="仿宋_GB2312"/>
          <w:sz w:val="32"/>
          <w:szCs w:val="32"/>
        </w:rPr>
      </w:pPr>
      <w:r>
        <w:rPr>
          <w:rFonts w:eastAsia="仿宋_GB2312"/>
          <w:sz w:val="32"/>
          <w:szCs w:val="32"/>
        </w:rPr>
        <w:t>1.5.1 南京市交通运输局牵头制定并由市政府印发的《南京市港口突发事件应急救援预案》，作为市级专项应急预案，是本预案的上位预案。</w:t>
      </w:r>
    </w:p>
    <w:p>
      <w:pPr>
        <w:snapToGrid w:val="0"/>
        <w:spacing w:line="560" w:lineRule="exact"/>
        <w:ind w:firstLine="640" w:firstLineChars="200"/>
        <w:rPr>
          <w:rFonts w:eastAsia="仿宋_GB2312"/>
          <w:sz w:val="32"/>
          <w:szCs w:val="32"/>
        </w:rPr>
      </w:pPr>
      <w:r>
        <w:rPr>
          <w:rFonts w:eastAsia="仿宋_GB2312"/>
          <w:sz w:val="32"/>
          <w:szCs w:val="32"/>
        </w:rPr>
        <w:t>1.5.2 本预案是与市级专项应急预案相配套的市交通运输部门应急预案，是指导南京市交通运输局及直属单位开展港口突发事件应急救援工作的基础性文件。</w:t>
      </w:r>
    </w:p>
    <w:p>
      <w:pPr>
        <w:snapToGrid w:val="0"/>
        <w:spacing w:line="560" w:lineRule="exact"/>
        <w:ind w:firstLine="640" w:firstLineChars="200"/>
        <w:rPr>
          <w:rFonts w:eastAsia="仿宋_GB2312"/>
          <w:sz w:val="32"/>
          <w:szCs w:val="32"/>
        </w:rPr>
      </w:pPr>
      <w:r>
        <w:rPr>
          <w:rFonts w:eastAsia="仿宋_GB2312"/>
          <w:sz w:val="32"/>
          <w:szCs w:val="32"/>
        </w:rPr>
        <w:t>1.5.3 南京市港口企业根据实际情况，制定与本预案相衔接的企业综合应急预案及相关专项应急预案、现场处置方案。</w:t>
      </w:r>
    </w:p>
    <w:p>
      <w:pPr>
        <w:snapToGrid w:val="0"/>
        <w:spacing w:line="560" w:lineRule="exact"/>
        <w:ind w:firstLine="640" w:firstLineChars="200"/>
        <w:rPr>
          <w:rFonts w:eastAsia="仿宋_GB2312"/>
          <w:sz w:val="32"/>
          <w:szCs w:val="32"/>
        </w:rPr>
      </w:pPr>
      <w:r>
        <w:rPr>
          <w:rFonts w:eastAsia="仿宋_GB2312"/>
          <w:sz w:val="32"/>
          <w:szCs w:val="32"/>
        </w:rPr>
        <w:t>1.5.4 区级交通运输部门根据辖区内港口经营单位的实际情况，制定与本预案相衔接的区级部门应急预案。</w:t>
      </w:r>
    </w:p>
    <w:p>
      <w:pPr>
        <w:pStyle w:val="3"/>
        <w:snapToGrid w:val="0"/>
        <w:spacing w:line="560" w:lineRule="atLeast"/>
        <w:ind w:firstLine="640" w:firstLineChars="200"/>
        <w:rPr>
          <w:rFonts w:eastAsia="楷体"/>
          <w:b w:val="0"/>
          <w:bCs w:val="0"/>
          <w:sz w:val="32"/>
        </w:rPr>
      </w:pPr>
      <w:bookmarkStart w:id="12" w:name="_Toc121478017"/>
      <w:r>
        <w:rPr>
          <w:rFonts w:eastAsia="楷体"/>
          <w:b w:val="0"/>
          <w:bCs w:val="0"/>
          <w:sz w:val="32"/>
        </w:rPr>
        <w:t>1.6分类分级</w:t>
      </w:r>
      <w:bookmarkEnd w:id="12"/>
    </w:p>
    <w:p>
      <w:pPr>
        <w:snapToGrid w:val="0"/>
        <w:spacing w:line="560" w:lineRule="exact"/>
        <w:ind w:firstLine="640" w:firstLineChars="200"/>
        <w:rPr>
          <w:rFonts w:eastAsia="仿宋_GB2312"/>
          <w:sz w:val="32"/>
          <w:szCs w:val="32"/>
        </w:rPr>
      </w:pPr>
      <w:r>
        <w:rPr>
          <w:rFonts w:eastAsia="仿宋_GB2312"/>
          <w:sz w:val="32"/>
          <w:szCs w:val="32"/>
        </w:rPr>
        <w:t>1.6.1 事件分类</w:t>
      </w:r>
    </w:p>
    <w:p>
      <w:pPr>
        <w:snapToGrid w:val="0"/>
        <w:spacing w:line="560" w:lineRule="exact"/>
        <w:ind w:firstLine="640" w:firstLineChars="200"/>
        <w:rPr>
          <w:rFonts w:eastAsia="仿宋_GB2312"/>
          <w:sz w:val="32"/>
          <w:szCs w:val="32"/>
        </w:rPr>
      </w:pPr>
      <w:r>
        <w:rPr>
          <w:rFonts w:eastAsia="仿宋_GB2312"/>
          <w:sz w:val="32"/>
          <w:szCs w:val="32"/>
        </w:rPr>
        <w:t>本预案所针对的南京市港口突发事件主要为事故灾难和自然灾害两类，具体如下：</w:t>
      </w:r>
    </w:p>
    <w:p>
      <w:pPr>
        <w:snapToGrid w:val="0"/>
        <w:spacing w:line="560" w:lineRule="exact"/>
        <w:ind w:firstLine="640" w:firstLineChars="200"/>
        <w:rPr>
          <w:rFonts w:eastAsia="仿宋_GB2312"/>
          <w:sz w:val="32"/>
          <w:szCs w:val="32"/>
        </w:rPr>
      </w:pPr>
      <w:r>
        <w:rPr>
          <w:rFonts w:eastAsia="仿宋_GB2312"/>
          <w:sz w:val="32"/>
          <w:szCs w:val="32"/>
        </w:rPr>
        <w:t>（1）事故灾难。主要包括危险货物泄漏事故、火灾爆炸事故、人员中毒和窒息事故、大型机械倾覆事故等。</w:t>
      </w:r>
    </w:p>
    <w:p>
      <w:pPr>
        <w:snapToGrid w:val="0"/>
        <w:spacing w:line="560" w:lineRule="exact"/>
        <w:ind w:firstLine="640" w:firstLineChars="200"/>
        <w:rPr>
          <w:rFonts w:eastAsia="仿宋_GB2312"/>
          <w:sz w:val="32"/>
          <w:szCs w:val="32"/>
        </w:rPr>
      </w:pPr>
      <w:r>
        <w:rPr>
          <w:rFonts w:eastAsia="仿宋_GB2312"/>
          <w:sz w:val="32"/>
          <w:szCs w:val="32"/>
        </w:rPr>
        <w:t>（2）自然灾害。主要包括台风、暴雨、大雾、高温、雷暴等气象灾害、地震灾害、地质灾害及上述灾害所引发的洪水、风暴潮等次生灾害。</w:t>
      </w:r>
    </w:p>
    <w:p>
      <w:pPr>
        <w:topLinePunct/>
        <w:snapToGrid w:val="0"/>
        <w:spacing w:line="560" w:lineRule="atLeast"/>
        <w:ind w:firstLine="640" w:firstLineChars="200"/>
        <w:rPr>
          <w:rFonts w:eastAsia="方正仿宋_GBK"/>
          <w:sz w:val="32"/>
          <w:szCs w:val="32"/>
        </w:rPr>
      </w:pPr>
      <w:r>
        <w:rPr>
          <w:rFonts w:eastAsia="方正仿宋_GBK"/>
          <w:sz w:val="32"/>
          <w:szCs w:val="32"/>
        </w:rPr>
        <w:t>1.6.2 事件分级</w:t>
      </w:r>
    </w:p>
    <w:p>
      <w:pPr>
        <w:snapToGrid w:val="0"/>
        <w:spacing w:line="560" w:lineRule="exact"/>
        <w:ind w:firstLine="640" w:firstLineChars="200"/>
        <w:rPr>
          <w:rFonts w:hint="eastAsia" w:eastAsia="仿宋_GB2312"/>
          <w:sz w:val="32"/>
          <w:szCs w:val="32"/>
        </w:rPr>
      </w:pPr>
      <w:r>
        <w:rPr>
          <w:rFonts w:eastAsia="仿宋_GB2312"/>
          <w:sz w:val="32"/>
          <w:szCs w:val="32"/>
        </w:rPr>
        <w:t>按照突发事件的性质、严重程度、可控性和影响范围等因素，南京市港口突发事件分为四级：特别重大（Ⅰ级）、重大（Ⅱ级）、较大（Ⅲ级）和一般（Ⅳ级）四个等级。具体划分见表1。</w:t>
      </w:r>
    </w:p>
    <w:p>
      <w:pPr>
        <w:snapToGrid w:val="0"/>
        <w:spacing w:line="560" w:lineRule="exact"/>
        <w:ind w:firstLine="640" w:firstLineChars="200"/>
        <w:rPr>
          <w:rFonts w:hint="eastAsia" w:eastAsia="仿宋_GB2312"/>
          <w:sz w:val="32"/>
          <w:szCs w:val="32"/>
        </w:rPr>
      </w:pPr>
    </w:p>
    <w:p>
      <w:pPr>
        <w:snapToGrid w:val="0"/>
        <w:spacing w:line="560" w:lineRule="exact"/>
        <w:ind w:firstLine="640" w:firstLineChars="200"/>
        <w:rPr>
          <w:rFonts w:eastAsia="仿宋_GB2312"/>
          <w:sz w:val="32"/>
          <w:szCs w:val="32"/>
        </w:rPr>
      </w:pPr>
    </w:p>
    <w:p>
      <w:pPr>
        <w:snapToGrid w:val="0"/>
        <w:spacing w:line="560" w:lineRule="exact"/>
        <w:ind w:firstLine="640" w:firstLineChars="200"/>
        <w:jc w:val="center"/>
        <w:rPr>
          <w:rFonts w:eastAsia="仿宋_GB2312"/>
          <w:sz w:val="32"/>
          <w:szCs w:val="32"/>
        </w:rPr>
      </w:pPr>
      <w:r>
        <w:rPr>
          <w:rFonts w:eastAsia="仿宋_GB2312"/>
          <w:sz w:val="32"/>
          <w:szCs w:val="32"/>
        </w:rPr>
        <w:t>表1  港口突发事件分级表</w:t>
      </w:r>
    </w:p>
    <w:tbl>
      <w:tblPr>
        <w:tblStyle w:val="8"/>
        <w:tblW w:w="0" w:type="auto"/>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836"/>
        <w:gridCol w:w="7444"/>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726" w:hRule="atLeast"/>
          <w:tblHeader/>
          <w:jc w:val="center"/>
        </w:trPr>
        <w:tc>
          <w:tcPr>
            <w:tcW w:w="836" w:type="dxa"/>
            <w:tcBorders>
              <w:top w:val="single" w:color="auto" w:sz="12" w:space="0"/>
              <w:left w:val="single" w:color="auto" w:sz="12" w:space="0"/>
              <w:bottom w:val="single" w:color="auto" w:sz="6" w:space="0"/>
              <w:right w:val="single" w:color="auto" w:sz="6" w:space="0"/>
            </w:tcBorders>
            <w:noWrap w:val="0"/>
            <w:vAlign w:val="center"/>
          </w:tcPr>
          <w:p>
            <w:pPr>
              <w:widowControl/>
              <w:topLinePunct/>
              <w:snapToGrid w:val="0"/>
              <w:spacing w:line="560" w:lineRule="atLeast"/>
              <w:rPr>
                <w:rFonts w:eastAsia="方正黑体_GBK"/>
              </w:rPr>
            </w:pPr>
            <w:r>
              <w:rPr>
                <w:rFonts w:eastAsia="方正黑体_GBK"/>
              </w:rPr>
              <w:t>等级</w:t>
            </w:r>
          </w:p>
        </w:tc>
        <w:tc>
          <w:tcPr>
            <w:tcW w:w="7444" w:type="dxa"/>
            <w:tcBorders>
              <w:top w:val="single" w:color="auto" w:sz="12" w:space="0"/>
              <w:left w:val="nil"/>
              <w:bottom w:val="single" w:color="auto" w:sz="6" w:space="0"/>
              <w:right w:val="single" w:color="auto" w:sz="12" w:space="0"/>
            </w:tcBorders>
            <w:noWrap w:val="0"/>
            <w:vAlign w:val="center"/>
          </w:tcPr>
          <w:p>
            <w:pPr>
              <w:widowControl/>
              <w:topLinePunct/>
              <w:snapToGrid w:val="0"/>
              <w:spacing w:line="560" w:lineRule="atLeast"/>
              <w:jc w:val="center"/>
              <w:rPr>
                <w:rFonts w:eastAsia="方正黑体_GBK"/>
              </w:rPr>
            </w:pPr>
            <w:r>
              <w:rPr>
                <w:rFonts w:eastAsia="方正黑体_GBK"/>
              </w:rPr>
              <w:t>分级标准</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jc w:val="center"/>
        </w:trPr>
        <w:tc>
          <w:tcPr>
            <w:tcW w:w="836" w:type="dxa"/>
            <w:tcBorders>
              <w:top w:val="single" w:color="auto" w:sz="6" w:space="0"/>
              <w:left w:val="single" w:color="auto" w:sz="12" w:space="0"/>
              <w:bottom w:val="single" w:color="auto" w:sz="6" w:space="0"/>
              <w:right w:val="single" w:color="auto" w:sz="6" w:space="0"/>
            </w:tcBorders>
            <w:noWrap w:val="0"/>
            <w:vAlign w:val="center"/>
          </w:tcPr>
          <w:p>
            <w:pPr>
              <w:widowControl/>
              <w:topLinePunct/>
              <w:snapToGrid w:val="0"/>
              <w:spacing w:line="560" w:lineRule="atLeast"/>
              <w:rPr>
                <w:rFonts w:eastAsia="方正书宋_GBK"/>
              </w:rPr>
            </w:pPr>
            <w:r>
              <w:rPr>
                <w:rFonts w:eastAsia="方正书宋_GBK"/>
              </w:rPr>
              <w:t>Ⅰ级</w:t>
            </w:r>
          </w:p>
        </w:tc>
        <w:tc>
          <w:tcPr>
            <w:tcW w:w="7444" w:type="dxa"/>
            <w:tcBorders>
              <w:top w:val="single" w:color="auto" w:sz="6" w:space="0"/>
              <w:left w:val="nil"/>
              <w:bottom w:val="single" w:color="auto" w:sz="6" w:space="0"/>
              <w:right w:val="single" w:color="auto" w:sz="12" w:space="0"/>
            </w:tcBorders>
            <w:noWrap w:val="0"/>
            <w:vAlign w:val="center"/>
          </w:tcPr>
          <w:p>
            <w:pPr>
              <w:widowControl/>
              <w:topLinePunct/>
              <w:snapToGrid w:val="0"/>
              <w:spacing w:line="560" w:lineRule="atLeast"/>
              <w:rPr>
                <w:rFonts w:eastAsia="方正书宋_GBK"/>
              </w:rPr>
            </w:pPr>
            <w:r>
              <w:rPr>
                <w:rFonts w:eastAsia="方正书宋_GBK"/>
              </w:rPr>
              <w:t>1．主要港口、地区性重要港口瘫痪或遭受灾难性损失的；主要港口、地区性重要港口危险货物码头、仓储场所发生火灾、爆炸、泄漏等事件，造成特别严重社会影响的；造成特大人员伤亡，死亡失踪30人以上，或危及30人以上生命安全的；</w:t>
            </w:r>
          </w:p>
          <w:p>
            <w:pPr>
              <w:widowControl/>
              <w:topLinePunct/>
              <w:snapToGrid w:val="0"/>
              <w:spacing w:line="560" w:lineRule="atLeast"/>
              <w:rPr>
                <w:rFonts w:eastAsia="方正书宋_GBK"/>
              </w:rPr>
            </w:pPr>
            <w:r>
              <w:rPr>
                <w:rFonts w:eastAsia="方正书宋_GBK"/>
              </w:rPr>
              <w:t>2．危险货物泄漏、大面积污染水域，造成特大生态环境灾害或公共卫生危害</w:t>
            </w:r>
            <w:r>
              <w:rPr>
                <w:rFonts w:hint="eastAsia" w:eastAsia="方正书宋_GBK"/>
              </w:rPr>
              <w:t>。</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jc w:val="center"/>
        </w:trPr>
        <w:tc>
          <w:tcPr>
            <w:tcW w:w="836" w:type="dxa"/>
            <w:tcBorders>
              <w:top w:val="single" w:color="auto" w:sz="6" w:space="0"/>
              <w:left w:val="single" w:color="auto" w:sz="12" w:space="0"/>
              <w:bottom w:val="single" w:color="auto" w:sz="6" w:space="0"/>
              <w:right w:val="single" w:color="auto" w:sz="6" w:space="0"/>
            </w:tcBorders>
            <w:noWrap w:val="0"/>
            <w:vAlign w:val="center"/>
          </w:tcPr>
          <w:p>
            <w:pPr>
              <w:widowControl/>
              <w:topLinePunct/>
              <w:snapToGrid w:val="0"/>
              <w:spacing w:line="560" w:lineRule="atLeast"/>
              <w:rPr>
                <w:rFonts w:eastAsia="方正书宋_GBK"/>
              </w:rPr>
            </w:pPr>
            <w:r>
              <w:rPr>
                <w:rFonts w:eastAsia="方正书宋_GBK"/>
              </w:rPr>
              <w:t>Ⅱ级</w:t>
            </w:r>
          </w:p>
        </w:tc>
        <w:tc>
          <w:tcPr>
            <w:tcW w:w="7444" w:type="dxa"/>
            <w:tcBorders>
              <w:top w:val="single" w:color="auto" w:sz="6" w:space="0"/>
              <w:left w:val="nil"/>
              <w:bottom w:val="single" w:color="auto" w:sz="6" w:space="0"/>
              <w:right w:val="single" w:color="auto" w:sz="12" w:space="0"/>
            </w:tcBorders>
            <w:noWrap w:val="0"/>
            <w:vAlign w:val="center"/>
          </w:tcPr>
          <w:p>
            <w:pPr>
              <w:widowControl/>
              <w:topLinePunct/>
              <w:snapToGrid w:val="0"/>
              <w:spacing w:line="560" w:lineRule="atLeast"/>
              <w:rPr>
                <w:rFonts w:eastAsia="方正书宋_GBK"/>
              </w:rPr>
            </w:pPr>
            <w:r>
              <w:rPr>
                <w:rFonts w:eastAsia="方正书宋_GBK"/>
              </w:rPr>
              <w:t>1．主要港口、地区性重要港口遭受严重损失，重要港区瘫痪或遭受灾难性损失的；主要港口、地区性重要港口危险货物码头、仓储场所发生火灾、爆炸、泄漏等事件，造成严重社会影响的；造成重大人员伤亡，死亡失踪10人以上、30人以下，或危及10人以上、30人以下生命安全的；</w:t>
            </w:r>
          </w:p>
          <w:p>
            <w:pPr>
              <w:widowControl/>
              <w:topLinePunct/>
              <w:snapToGrid w:val="0"/>
              <w:spacing w:line="560" w:lineRule="atLeast"/>
              <w:rPr>
                <w:rFonts w:eastAsia="方正书宋_GBK"/>
              </w:rPr>
            </w:pPr>
            <w:r>
              <w:rPr>
                <w:rFonts w:eastAsia="方正书宋_GBK"/>
              </w:rPr>
              <w:t>2．危险货物泄漏、较大面积污染水域，造成重大生态环境灾害或公共卫生危害</w:t>
            </w:r>
            <w:r>
              <w:rPr>
                <w:rFonts w:hint="eastAsia" w:eastAsia="方正书宋_GBK"/>
              </w:rPr>
              <w:t>。</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jc w:val="center"/>
        </w:trPr>
        <w:tc>
          <w:tcPr>
            <w:tcW w:w="836" w:type="dxa"/>
            <w:tcBorders>
              <w:top w:val="single" w:color="auto" w:sz="6" w:space="0"/>
              <w:left w:val="single" w:color="auto" w:sz="12" w:space="0"/>
              <w:bottom w:val="single" w:color="auto" w:sz="6" w:space="0"/>
              <w:right w:val="single" w:color="auto" w:sz="6" w:space="0"/>
            </w:tcBorders>
            <w:noWrap w:val="0"/>
            <w:vAlign w:val="center"/>
          </w:tcPr>
          <w:p>
            <w:pPr>
              <w:widowControl/>
              <w:topLinePunct/>
              <w:snapToGrid w:val="0"/>
              <w:spacing w:line="560" w:lineRule="atLeast"/>
              <w:rPr>
                <w:rFonts w:eastAsia="方正书宋_GBK"/>
              </w:rPr>
            </w:pPr>
            <w:r>
              <w:rPr>
                <w:rFonts w:eastAsia="方正书宋_GBK"/>
              </w:rPr>
              <w:t>Ⅲ级</w:t>
            </w:r>
          </w:p>
        </w:tc>
        <w:tc>
          <w:tcPr>
            <w:tcW w:w="7444" w:type="dxa"/>
            <w:tcBorders>
              <w:top w:val="single" w:color="auto" w:sz="6" w:space="0"/>
              <w:left w:val="nil"/>
              <w:bottom w:val="single" w:color="auto" w:sz="6" w:space="0"/>
              <w:right w:val="single" w:color="auto" w:sz="12" w:space="0"/>
            </w:tcBorders>
            <w:noWrap w:val="0"/>
            <w:vAlign w:val="center"/>
          </w:tcPr>
          <w:p>
            <w:pPr>
              <w:widowControl/>
              <w:topLinePunct/>
              <w:snapToGrid w:val="0"/>
              <w:spacing w:line="560" w:lineRule="atLeast"/>
              <w:rPr>
                <w:rFonts w:eastAsia="方正书宋_GBK"/>
              </w:rPr>
            </w:pPr>
            <w:r>
              <w:rPr>
                <w:rFonts w:eastAsia="方正书宋_GBK"/>
              </w:rPr>
              <w:t>1．地区性重要港口局部遭受严重损失，其他港口瘫痪或遭受灾难性损失的；港口危险货物码头、仓储场所发生火灾、爆炸、泄漏等事件，造成较大社会影响的；造成较大人员伤亡，死亡头踪3人以上、10人以下，或危及3人以上、10人以下生命安全的；</w:t>
            </w:r>
          </w:p>
          <w:p>
            <w:pPr>
              <w:widowControl/>
              <w:topLinePunct/>
              <w:snapToGrid w:val="0"/>
              <w:spacing w:line="560" w:lineRule="atLeast"/>
              <w:rPr>
                <w:rFonts w:eastAsia="方正书宋_GBK"/>
              </w:rPr>
            </w:pPr>
            <w:r>
              <w:rPr>
                <w:rFonts w:eastAsia="方正书宋_GBK"/>
              </w:rPr>
              <w:t>2．危险货物泄漏、大面积污染水域，造成较大生态环境灾害或公共卫生危害</w:t>
            </w:r>
            <w:r>
              <w:rPr>
                <w:rFonts w:hint="eastAsia" w:eastAsia="方正书宋_GBK"/>
              </w:rPr>
              <w:t>。</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jc w:val="center"/>
        </w:trPr>
        <w:tc>
          <w:tcPr>
            <w:tcW w:w="836" w:type="dxa"/>
            <w:tcBorders>
              <w:top w:val="single" w:color="auto" w:sz="6" w:space="0"/>
              <w:left w:val="single" w:color="auto" w:sz="12" w:space="0"/>
              <w:bottom w:val="single" w:color="auto" w:sz="12" w:space="0"/>
              <w:right w:val="single" w:color="auto" w:sz="6" w:space="0"/>
            </w:tcBorders>
            <w:noWrap w:val="0"/>
            <w:vAlign w:val="center"/>
          </w:tcPr>
          <w:p>
            <w:pPr>
              <w:widowControl/>
              <w:topLinePunct/>
              <w:snapToGrid w:val="0"/>
              <w:spacing w:line="560" w:lineRule="atLeast"/>
              <w:rPr>
                <w:rFonts w:eastAsia="方正书宋_GBK"/>
              </w:rPr>
            </w:pPr>
            <w:r>
              <w:rPr>
                <w:rFonts w:eastAsia="方正书宋_GBK"/>
              </w:rPr>
              <w:t>Ⅳ级</w:t>
            </w:r>
          </w:p>
        </w:tc>
        <w:tc>
          <w:tcPr>
            <w:tcW w:w="7444" w:type="dxa"/>
            <w:tcBorders>
              <w:top w:val="single" w:color="auto" w:sz="6" w:space="0"/>
              <w:left w:val="nil"/>
              <w:bottom w:val="single" w:color="auto" w:sz="12" w:space="0"/>
              <w:right w:val="single" w:color="auto" w:sz="12" w:space="0"/>
            </w:tcBorders>
            <w:noWrap w:val="0"/>
            <w:vAlign w:val="center"/>
          </w:tcPr>
          <w:p>
            <w:pPr>
              <w:widowControl/>
              <w:topLinePunct/>
              <w:snapToGrid w:val="0"/>
              <w:spacing w:line="560" w:lineRule="atLeast"/>
              <w:rPr>
                <w:rFonts w:eastAsia="方正书宋_GBK"/>
              </w:rPr>
            </w:pPr>
            <w:r>
              <w:rPr>
                <w:rFonts w:eastAsia="方正书宋_GBK"/>
              </w:rPr>
              <w:t>1．其他港口遭受严重损失的；港口危险货物码头、仓储场所发生火灾、爆炸、泄漏等事件，造成一般及以下社会影响的；造成一般人员伤亡，死亡失踪3人以下，或危及3人以下生命安全的；</w:t>
            </w:r>
          </w:p>
          <w:p>
            <w:pPr>
              <w:widowControl/>
              <w:topLinePunct/>
              <w:snapToGrid w:val="0"/>
              <w:spacing w:line="560" w:lineRule="atLeast"/>
              <w:rPr>
                <w:rFonts w:eastAsia="方正书宋_GBK"/>
              </w:rPr>
            </w:pPr>
            <w:r>
              <w:rPr>
                <w:rFonts w:eastAsia="方正书宋_GBK"/>
              </w:rPr>
              <w:t>2．危险货物泄漏、小面积污染水域，造成一般生态环境灾害或公共卫生危害</w:t>
            </w:r>
            <w:r>
              <w:rPr>
                <w:rFonts w:hint="eastAsia" w:eastAsia="方正书宋_GBK"/>
              </w:rPr>
              <w:t>。</w:t>
            </w:r>
          </w:p>
        </w:tc>
      </w:tr>
    </w:tbl>
    <w:p>
      <w:pPr>
        <w:snapToGrid w:val="0"/>
        <w:spacing w:line="560" w:lineRule="exact"/>
        <w:ind w:firstLine="640" w:firstLineChars="200"/>
        <w:rPr>
          <w:rFonts w:eastAsia="仿宋_GB2312"/>
          <w:sz w:val="32"/>
          <w:szCs w:val="32"/>
        </w:rPr>
      </w:pPr>
      <w:r>
        <w:rPr>
          <w:rFonts w:eastAsia="仿宋_GB2312"/>
          <w:sz w:val="32"/>
          <w:szCs w:val="32"/>
        </w:rPr>
        <w:t>上述有关数量的表述中，“以上”含本数，“以下”不含本数。</w:t>
      </w:r>
    </w:p>
    <w:p>
      <w:pPr>
        <w:snapToGrid w:val="0"/>
        <w:spacing w:line="560" w:lineRule="exact"/>
        <w:ind w:firstLine="640" w:firstLineChars="200"/>
        <w:rPr>
          <w:rFonts w:eastAsia="仿宋_GB2312"/>
          <w:sz w:val="32"/>
          <w:szCs w:val="32"/>
        </w:rPr>
      </w:pPr>
      <w:r>
        <w:rPr>
          <w:rFonts w:eastAsia="仿宋_GB2312"/>
          <w:sz w:val="32"/>
          <w:szCs w:val="32"/>
        </w:rPr>
        <w:t>对于上表中未列出的情况，参照《南京市突发事件总体应急预案》及南京市已发布的相应专项预案执行。</w:t>
      </w:r>
    </w:p>
    <w:p>
      <w:pPr>
        <w:pStyle w:val="2"/>
        <w:snapToGrid w:val="0"/>
        <w:spacing w:line="560" w:lineRule="atLeast"/>
        <w:ind w:firstLine="640" w:firstLineChars="200"/>
        <w:rPr>
          <w:b w:val="0"/>
          <w:bCs w:val="0"/>
          <w:szCs w:val="32"/>
        </w:rPr>
      </w:pPr>
      <w:bookmarkStart w:id="13" w:name="_Toc121478018"/>
      <w:bookmarkStart w:id="14" w:name="_Toc121836013"/>
      <w:bookmarkStart w:id="15" w:name="_Toc121836099"/>
      <w:r>
        <w:rPr>
          <w:b w:val="0"/>
          <w:bCs w:val="0"/>
          <w:szCs w:val="32"/>
        </w:rPr>
        <w:t>2 应急组织机构和职责</w:t>
      </w:r>
      <w:bookmarkEnd w:id="13"/>
      <w:bookmarkEnd w:id="14"/>
      <w:bookmarkEnd w:id="15"/>
    </w:p>
    <w:p>
      <w:pPr>
        <w:pStyle w:val="3"/>
        <w:snapToGrid w:val="0"/>
        <w:spacing w:line="560" w:lineRule="atLeast"/>
        <w:ind w:firstLine="640" w:firstLineChars="200"/>
        <w:rPr>
          <w:rFonts w:eastAsia="楷体"/>
          <w:b w:val="0"/>
          <w:bCs w:val="0"/>
          <w:sz w:val="32"/>
        </w:rPr>
      </w:pPr>
      <w:bookmarkStart w:id="16" w:name="_Toc121478019"/>
      <w:r>
        <w:rPr>
          <w:rFonts w:eastAsia="楷体"/>
          <w:b w:val="0"/>
          <w:bCs w:val="0"/>
          <w:sz w:val="32"/>
        </w:rPr>
        <w:t>2.1局港口突发事件应急指挥部</w:t>
      </w:r>
      <w:bookmarkEnd w:id="16"/>
    </w:p>
    <w:p>
      <w:pPr>
        <w:snapToGrid w:val="0"/>
        <w:spacing w:line="560" w:lineRule="exact"/>
        <w:ind w:firstLine="640" w:firstLineChars="200"/>
        <w:rPr>
          <w:rFonts w:eastAsia="仿宋_GB2312"/>
          <w:sz w:val="32"/>
          <w:szCs w:val="32"/>
        </w:rPr>
      </w:pPr>
      <w:r>
        <w:rPr>
          <w:rFonts w:eastAsia="仿宋_GB2312"/>
          <w:sz w:val="32"/>
          <w:szCs w:val="32"/>
        </w:rPr>
        <w:t>南京市交通运输局成立港口突发事件应急救援指挥部（以下简称应急指挥部），负责港口突发事件应急救援，为非常设机构，在一般（Ⅳ级）及以上级别事故应急响应启动时设</w:t>
      </w:r>
      <w:r>
        <w:rPr>
          <w:rFonts w:hint="eastAsia" w:eastAsia="仿宋_GB2312"/>
          <w:sz w:val="32"/>
          <w:szCs w:val="32"/>
        </w:rPr>
        <w:t>立</w:t>
      </w:r>
      <w:r>
        <w:rPr>
          <w:rFonts w:eastAsia="仿宋_GB2312"/>
          <w:sz w:val="32"/>
          <w:szCs w:val="32"/>
        </w:rPr>
        <w:t>。</w:t>
      </w:r>
    </w:p>
    <w:p>
      <w:pPr>
        <w:snapToGrid w:val="0"/>
        <w:spacing w:line="560" w:lineRule="exact"/>
        <w:ind w:firstLine="640" w:firstLineChars="200"/>
        <w:rPr>
          <w:rFonts w:eastAsia="仿宋_GB2312"/>
          <w:sz w:val="32"/>
          <w:szCs w:val="32"/>
        </w:rPr>
      </w:pPr>
      <w:r>
        <w:rPr>
          <w:rFonts w:eastAsia="仿宋_GB2312"/>
          <w:sz w:val="32"/>
          <w:szCs w:val="32"/>
        </w:rPr>
        <w:t>应急指挥部组成：由市交通运输局主要领导任指挥长，市交通运输局分管领导任副指挥长，市交通运输局相关职能处室，市交通运输综合行政执法监督局、市交通信息中心（南京交通运输综合应急指挥中心），各区交通运输主管部门，各港口企业主要负责人为成员。成员单位可根据突发事件处置需要进行调整。另外南京市港口码头发生Ⅲ级及以上突发事件时，需按照《南京市港口突发事件应急救援预案》（宁政办发[2018]20号），积极配合市政府成立港口突发事件应急救援指挥部。</w:t>
      </w:r>
    </w:p>
    <w:p>
      <w:pPr>
        <w:snapToGrid w:val="0"/>
        <w:spacing w:line="560" w:lineRule="exact"/>
        <w:ind w:firstLine="640" w:firstLineChars="200"/>
        <w:rPr>
          <w:rFonts w:eastAsia="仿宋_GB2312"/>
          <w:sz w:val="32"/>
          <w:szCs w:val="32"/>
        </w:rPr>
      </w:pPr>
      <w:r>
        <w:rPr>
          <w:rFonts w:eastAsia="仿宋_GB2312"/>
          <w:sz w:val="32"/>
          <w:szCs w:val="32"/>
        </w:rPr>
        <w:t>应急指挥部具体职责为：</w:t>
      </w:r>
    </w:p>
    <w:p>
      <w:pPr>
        <w:snapToGrid w:val="0"/>
        <w:spacing w:line="560" w:lineRule="exact"/>
        <w:ind w:firstLine="640" w:firstLineChars="200"/>
        <w:rPr>
          <w:rFonts w:eastAsia="仿宋_GB2312"/>
          <w:sz w:val="32"/>
          <w:szCs w:val="32"/>
        </w:rPr>
      </w:pPr>
      <w:r>
        <w:rPr>
          <w:rFonts w:eastAsia="仿宋_GB2312"/>
          <w:sz w:val="32"/>
          <w:szCs w:val="32"/>
        </w:rPr>
        <w:t>（1）决定启动和终止本部门Ⅳ级突发事件预警状态和应急响应行动，全面组织、指挥和协调事故现场的救援工作，分析、判断港口码头事故的趋势和工作方案；</w:t>
      </w:r>
    </w:p>
    <w:p>
      <w:pPr>
        <w:snapToGrid w:val="0"/>
        <w:spacing w:line="560" w:lineRule="exact"/>
        <w:ind w:firstLine="640" w:firstLineChars="200"/>
        <w:rPr>
          <w:rFonts w:eastAsia="仿宋_GB2312"/>
          <w:sz w:val="32"/>
          <w:szCs w:val="32"/>
        </w:rPr>
      </w:pPr>
      <w:r>
        <w:rPr>
          <w:rFonts w:eastAsia="仿宋_GB2312"/>
          <w:sz w:val="32"/>
          <w:szCs w:val="32"/>
        </w:rPr>
        <w:t>（2）部署和组织相关内设机构与下属单位按照预案开展紧急救援工作；</w:t>
      </w:r>
    </w:p>
    <w:p>
      <w:pPr>
        <w:snapToGrid w:val="0"/>
        <w:spacing w:line="560" w:lineRule="exact"/>
        <w:ind w:firstLine="640" w:firstLineChars="200"/>
        <w:rPr>
          <w:rFonts w:eastAsia="仿宋_GB2312"/>
          <w:sz w:val="32"/>
          <w:szCs w:val="32"/>
        </w:rPr>
      </w:pPr>
      <w:r>
        <w:rPr>
          <w:rFonts w:eastAsia="仿宋_GB2312"/>
          <w:sz w:val="32"/>
          <w:szCs w:val="32"/>
        </w:rPr>
        <w:t>（3）负责随时向市政府报告救援情况，贯彻落实上级的有关救援指令，必要时请示上级应急机构应急增援；</w:t>
      </w:r>
    </w:p>
    <w:p>
      <w:pPr>
        <w:snapToGrid w:val="0"/>
        <w:spacing w:line="560" w:lineRule="exact"/>
        <w:ind w:firstLine="640" w:firstLineChars="200"/>
        <w:rPr>
          <w:rFonts w:eastAsia="仿宋_GB2312"/>
          <w:sz w:val="32"/>
          <w:szCs w:val="32"/>
        </w:rPr>
      </w:pPr>
      <w:r>
        <w:rPr>
          <w:rFonts w:eastAsia="仿宋_GB2312"/>
          <w:sz w:val="32"/>
          <w:szCs w:val="32"/>
        </w:rPr>
        <w:t>（4）统一规划、调配应急经费的使用，组织、落实救援物资；</w:t>
      </w:r>
    </w:p>
    <w:p>
      <w:pPr>
        <w:snapToGrid w:val="0"/>
        <w:spacing w:line="560" w:lineRule="exact"/>
        <w:ind w:firstLine="640" w:firstLineChars="200"/>
        <w:rPr>
          <w:rFonts w:eastAsia="仿宋_GB2312"/>
          <w:sz w:val="32"/>
          <w:szCs w:val="32"/>
        </w:rPr>
      </w:pPr>
      <w:r>
        <w:rPr>
          <w:rFonts w:eastAsia="仿宋_GB2312"/>
          <w:sz w:val="32"/>
          <w:szCs w:val="32"/>
        </w:rPr>
        <w:t>（5）保障应急运输运力资源等相关重大事项。</w:t>
      </w:r>
    </w:p>
    <w:p>
      <w:pPr>
        <w:pStyle w:val="3"/>
        <w:snapToGrid w:val="0"/>
        <w:spacing w:line="560" w:lineRule="atLeast"/>
        <w:ind w:firstLine="640" w:firstLineChars="200"/>
        <w:rPr>
          <w:rFonts w:eastAsia="楷体"/>
          <w:b w:val="0"/>
          <w:bCs w:val="0"/>
          <w:sz w:val="32"/>
        </w:rPr>
      </w:pPr>
      <w:bookmarkStart w:id="17" w:name="_Toc121478020"/>
      <w:r>
        <w:rPr>
          <w:rFonts w:eastAsia="楷体"/>
          <w:b w:val="0"/>
          <w:bCs w:val="0"/>
          <w:sz w:val="32"/>
        </w:rPr>
        <w:t>2.2应急指挥部办公室</w:t>
      </w:r>
      <w:bookmarkEnd w:id="17"/>
    </w:p>
    <w:p>
      <w:pPr>
        <w:snapToGrid w:val="0"/>
        <w:spacing w:line="560" w:lineRule="exact"/>
        <w:ind w:firstLine="640" w:firstLineChars="200"/>
        <w:rPr>
          <w:rFonts w:eastAsia="仿宋_GB2312"/>
          <w:sz w:val="32"/>
          <w:szCs w:val="32"/>
        </w:rPr>
      </w:pPr>
      <w:r>
        <w:rPr>
          <w:rFonts w:eastAsia="仿宋_GB2312"/>
          <w:sz w:val="32"/>
          <w:szCs w:val="32"/>
        </w:rPr>
        <w:t>应急指挥部办公室设在市交通运输综合行政执法监督局，组建市执法局应急指挥中心，作为南京市港口应急日常管理机构。</w:t>
      </w:r>
    </w:p>
    <w:p>
      <w:pPr>
        <w:snapToGrid w:val="0"/>
        <w:spacing w:line="560" w:lineRule="exact"/>
        <w:ind w:firstLine="640" w:firstLineChars="200"/>
        <w:rPr>
          <w:rFonts w:eastAsia="仿宋_GB2312"/>
          <w:sz w:val="32"/>
          <w:szCs w:val="32"/>
        </w:rPr>
      </w:pPr>
      <w:r>
        <w:rPr>
          <w:rFonts w:eastAsia="仿宋_GB2312"/>
          <w:sz w:val="32"/>
          <w:szCs w:val="32"/>
        </w:rPr>
        <w:t>应急指挥部办公室（市</w:t>
      </w:r>
      <w:r>
        <w:rPr>
          <w:rFonts w:hint="eastAsia" w:eastAsia="仿宋_GB2312"/>
          <w:sz w:val="32"/>
          <w:szCs w:val="32"/>
        </w:rPr>
        <w:t>交通综合</w:t>
      </w:r>
      <w:r>
        <w:rPr>
          <w:rFonts w:eastAsia="仿宋_GB2312"/>
          <w:sz w:val="32"/>
          <w:szCs w:val="32"/>
        </w:rPr>
        <w:t>执法局应急指挥中心）职责：</w:t>
      </w:r>
    </w:p>
    <w:p>
      <w:pPr>
        <w:snapToGrid w:val="0"/>
        <w:spacing w:line="560" w:lineRule="exact"/>
        <w:ind w:firstLine="640" w:firstLineChars="200"/>
        <w:rPr>
          <w:rFonts w:eastAsia="仿宋_GB2312"/>
          <w:sz w:val="32"/>
          <w:szCs w:val="32"/>
        </w:rPr>
      </w:pPr>
      <w:r>
        <w:rPr>
          <w:rFonts w:eastAsia="仿宋_GB2312"/>
          <w:sz w:val="32"/>
          <w:szCs w:val="32"/>
        </w:rPr>
        <w:t>（1）负责贯彻落实市政府、市交通运输局和应急指挥部的各项工作指令；</w:t>
      </w:r>
    </w:p>
    <w:p>
      <w:pPr>
        <w:snapToGrid w:val="0"/>
        <w:spacing w:line="560" w:lineRule="exact"/>
        <w:ind w:firstLine="640" w:firstLineChars="200"/>
        <w:rPr>
          <w:rFonts w:eastAsia="仿宋_GB2312"/>
          <w:sz w:val="32"/>
          <w:szCs w:val="32"/>
        </w:rPr>
      </w:pPr>
      <w:r>
        <w:rPr>
          <w:rFonts w:eastAsia="仿宋_GB2312"/>
          <w:sz w:val="32"/>
          <w:szCs w:val="32"/>
        </w:rPr>
        <w:t>（2）负责各应急救援相关机构和部门的日常联系、协调；</w:t>
      </w:r>
    </w:p>
    <w:p>
      <w:pPr>
        <w:snapToGrid w:val="0"/>
        <w:spacing w:line="560" w:lineRule="exact"/>
        <w:ind w:firstLine="640" w:firstLineChars="200"/>
        <w:rPr>
          <w:rFonts w:eastAsia="仿宋_GB2312"/>
          <w:sz w:val="32"/>
          <w:szCs w:val="32"/>
        </w:rPr>
      </w:pPr>
      <w:r>
        <w:rPr>
          <w:rFonts w:eastAsia="仿宋_GB2312"/>
          <w:sz w:val="32"/>
          <w:szCs w:val="32"/>
        </w:rPr>
        <w:t>（3）负责了解、收集事件信息，及时向应急指挥部报告；</w:t>
      </w:r>
    </w:p>
    <w:p>
      <w:pPr>
        <w:snapToGrid w:val="0"/>
        <w:spacing w:line="560" w:lineRule="exact"/>
        <w:ind w:firstLine="640" w:firstLineChars="200"/>
        <w:rPr>
          <w:rFonts w:eastAsia="仿宋_GB2312"/>
          <w:sz w:val="32"/>
          <w:szCs w:val="32"/>
        </w:rPr>
      </w:pPr>
      <w:r>
        <w:rPr>
          <w:rFonts w:eastAsia="仿宋_GB2312"/>
          <w:sz w:val="32"/>
          <w:szCs w:val="32"/>
        </w:rPr>
        <w:t>（4）负责制定应急演练计划及组织演练等。</w:t>
      </w:r>
    </w:p>
    <w:p>
      <w:pPr>
        <w:pStyle w:val="3"/>
        <w:snapToGrid w:val="0"/>
        <w:spacing w:line="560" w:lineRule="atLeast"/>
        <w:ind w:firstLine="640" w:firstLineChars="200"/>
        <w:rPr>
          <w:rFonts w:eastAsia="楷体"/>
          <w:b w:val="0"/>
          <w:bCs w:val="0"/>
          <w:sz w:val="32"/>
        </w:rPr>
      </w:pPr>
      <w:bookmarkStart w:id="18" w:name="_Toc121478021"/>
      <w:r>
        <w:rPr>
          <w:rFonts w:eastAsia="楷体"/>
          <w:b w:val="0"/>
          <w:bCs w:val="0"/>
          <w:sz w:val="32"/>
        </w:rPr>
        <w:t>2.3各成员单位主要职责</w:t>
      </w:r>
      <w:bookmarkEnd w:id="18"/>
    </w:p>
    <w:p>
      <w:pPr>
        <w:snapToGrid w:val="0"/>
        <w:spacing w:line="560" w:lineRule="exact"/>
        <w:ind w:firstLine="640" w:firstLineChars="200"/>
        <w:rPr>
          <w:rFonts w:eastAsia="仿宋_GB2312"/>
          <w:sz w:val="32"/>
          <w:szCs w:val="32"/>
        </w:rPr>
      </w:pPr>
      <w:r>
        <w:rPr>
          <w:rFonts w:eastAsia="仿宋_GB2312"/>
          <w:sz w:val="32"/>
          <w:szCs w:val="32"/>
        </w:rPr>
        <w:t>根据突发事件分类分级，参与应急工作的相关部门和单位在应急指挥部统一领导下的主要职责：</w:t>
      </w:r>
    </w:p>
    <w:p>
      <w:pPr>
        <w:snapToGrid w:val="0"/>
        <w:spacing w:line="560" w:lineRule="exact"/>
        <w:ind w:firstLine="640" w:firstLineChars="200"/>
        <w:rPr>
          <w:rFonts w:eastAsia="仿宋_GB2312"/>
          <w:sz w:val="32"/>
          <w:szCs w:val="32"/>
        </w:rPr>
      </w:pPr>
      <w:r>
        <w:rPr>
          <w:rFonts w:eastAsia="仿宋_GB2312"/>
          <w:sz w:val="32"/>
          <w:szCs w:val="32"/>
        </w:rPr>
        <w:t>市交通运输局相关职能处室：负责督促指导港口突发事件应急处置工作；组织或参与港口突发事件调查处理工作；做好突发事件的新闻发布、舆情监测和舆论引导工作；负责协助应急指挥部落实市政府、省交通运输厅的有关要求。</w:t>
      </w:r>
    </w:p>
    <w:p>
      <w:pPr>
        <w:snapToGrid w:val="0"/>
        <w:spacing w:line="560" w:lineRule="exact"/>
        <w:ind w:firstLine="640" w:firstLineChars="200"/>
        <w:rPr>
          <w:rFonts w:eastAsia="仿宋_GB2312"/>
          <w:sz w:val="32"/>
          <w:szCs w:val="32"/>
        </w:rPr>
      </w:pPr>
      <w:r>
        <w:rPr>
          <w:rFonts w:eastAsia="仿宋_GB2312"/>
          <w:sz w:val="32"/>
          <w:szCs w:val="32"/>
        </w:rPr>
        <w:t>市交通信息中心（南京交通运输综合应急指挥中心）：督促落实交通运输综合应急管理工作的决定事项和批示指示；负责交通运输应急指挥系统（平台）运行管理；负责交通运输综合应急值班、日常应急信息统计上报等工作，指导全系统应急值班。</w:t>
      </w:r>
    </w:p>
    <w:p>
      <w:pPr>
        <w:snapToGrid w:val="0"/>
        <w:spacing w:line="560" w:lineRule="exact"/>
        <w:ind w:firstLine="640" w:firstLineChars="200"/>
        <w:rPr>
          <w:rFonts w:eastAsia="仿宋_GB2312"/>
          <w:sz w:val="32"/>
          <w:szCs w:val="32"/>
        </w:rPr>
      </w:pPr>
      <w:r>
        <w:rPr>
          <w:rFonts w:eastAsia="仿宋_GB2312"/>
          <w:sz w:val="32"/>
          <w:szCs w:val="32"/>
        </w:rPr>
        <w:t>市交通运输综合行政执法监督局：督导事发港口企业落实自救行动；负责交通运输运行监测与预警，及时掌握和报告有关重大情况和动态，规范报送紧急重要事项；协调系统应急队伍、装备、物资等资源管理工作；协调组织相关运输企业参与应急运输行动；协调组织相关交通建设企业参与应急救援抢修行动；参与突发事件信息发布、善后处置、调查处理等工作。</w:t>
      </w:r>
    </w:p>
    <w:p>
      <w:pPr>
        <w:snapToGrid w:val="0"/>
        <w:spacing w:line="560" w:lineRule="exact"/>
        <w:ind w:firstLine="640" w:firstLineChars="200"/>
        <w:rPr>
          <w:rFonts w:eastAsia="仿宋_GB2312"/>
          <w:sz w:val="32"/>
          <w:szCs w:val="32"/>
        </w:rPr>
      </w:pPr>
      <w:r>
        <w:rPr>
          <w:rFonts w:eastAsia="仿宋_GB2312"/>
          <w:sz w:val="32"/>
          <w:szCs w:val="32"/>
        </w:rPr>
        <w:t>各区交通运输主管部门：参加安全警戒、抢险救灾等工作；督导属地事发企业开展先期应急救援行动；协调属地交通运输企业参与先期应急救援行动；牵头做好属地相关事发企业善后处置工作。</w:t>
      </w:r>
    </w:p>
    <w:p>
      <w:pPr>
        <w:snapToGrid w:val="0"/>
        <w:spacing w:line="560" w:lineRule="exact"/>
        <w:ind w:firstLine="640" w:firstLineChars="200"/>
        <w:rPr>
          <w:rFonts w:eastAsia="仿宋_GB2312"/>
          <w:sz w:val="32"/>
          <w:szCs w:val="32"/>
        </w:rPr>
      </w:pPr>
      <w:r>
        <w:rPr>
          <w:rFonts w:eastAsia="仿宋_GB2312"/>
          <w:sz w:val="32"/>
          <w:szCs w:val="32"/>
        </w:rPr>
        <w:t>港口各企业：企业依法履行安全生产主体责任；事发企业迅速落实各项自救及上报工作，相关企业在上级部门指导下，于各自职责范围内积极参与应急救援抢修行动。</w:t>
      </w:r>
    </w:p>
    <w:p>
      <w:pPr>
        <w:snapToGrid w:val="0"/>
        <w:spacing w:line="560" w:lineRule="exact"/>
        <w:ind w:firstLine="640" w:firstLineChars="200"/>
        <w:rPr>
          <w:rFonts w:eastAsia="仿宋_GB2312"/>
          <w:sz w:val="32"/>
          <w:szCs w:val="32"/>
        </w:rPr>
      </w:pPr>
      <w:r>
        <w:rPr>
          <w:rFonts w:eastAsia="仿宋_GB2312"/>
          <w:sz w:val="32"/>
          <w:szCs w:val="32"/>
        </w:rPr>
        <w:t>发生一般（Ⅳ级）及以上港口突发事件后，南京市交通运输局港口突发事件应急救指挥部进入应急状态，并设立现场指挥部，现场指挥由指挥长（副指挥长）或由指挥长指定人员担任，成员由港口突发事件应急指挥部相关负责人以及相关港口经营单位负责人组成。</w:t>
      </w:r>
    </w:p>
    <w:p>
      <w:pPr>
        <w:pStyle w:val="2"/>
        <w:snapToGrid w:val="0"/>
        <w:spacing w:line="560" w:lineRule="atLeast"/>
        <w:ind w:firstLine="640" w:firstLineChars="200"/>
        <w:rPr>
          <w:b w:val="0"/>
          <w:bCs w:val="0"/>
          <w:szCs w:val="32"/>
        </w:rPr>
      </w:pPr>
      <w:bookmarkStart w:id="19" w:name="_Toc121836014"/>
      <w:bookmarkStart w:id="20" w:name="_Toc121836100"/>
      <w:bookmarkStart w:id="21" w:name="_Toc121478022"/>
      <w:r>
        <w:rPr>
          <w:b w:val="0"/>
          <w:bCs w:val="0"/>
          <w:szCs w:val="32"/>
        </w:rPr>
        <w:t>3 南京港口概况及风险分析</w:t>
      </w:r>
      <w:bookmarkEnd w:id="19"/>
      <w:bookmarkEnd w:id="20"/>
      <w:bookmarkEnd w:id="21"/>
    </w:p>
    <w:p>
      <w:pPr>
        <w:pStyle w:val="3"/>
        <w:snapToGrid w:val="0"/>
        <w:spacing w:line="560" w:lineRule="atLeast"/>
        <w:ind w:firstLine="640" w:firstLineChars="200"/>
        <w:rPr>
          <w:rFonts w:eastAsia="楷体"/>
          <w:b w:val="0"/>
          <w:bCs w:val="0"/>
          <w:sz w:val="32"/>
        </w:rPr>
      </w:pPr>
      <w:bookmarkStart w:id="22" w:name="_Toc121478023"/>
      <w:r>
        <w:rPr>
          <w:rFonts w:eastAsia="楷体"/>
          <w:b w:val="0"/>
          <w:bCs w:val="0"/>
          <w:sz w:val="32"/>
        </w:rPr>
        <w:t>3.1南京市港口基本情况</w:t>
      </w:r>
      <w:bookmarkEnd w:id="22"/>
    </w:p>
    <w:p>
      <w:pPr>
        <w:snapToGrid w:val="0"/>
        <w:spacing w:line="560" w:lineRule="exact"/>
        <w:ind w:firstLine="640" w:firstLineChars="200"/>
        <w:rPr>
          <w:rFonts w:eastAsia="仿宋_GB2312"/>
          <w:sz w:val="32"/>
          <w:szCs w:val="32"/>
        </w:rPr>
      </w:pPr>
      <w:r>
        <w:rPr>
          <w:rFonts w:eastAsia="仿宋_GB2312"/>
          <w:sz w:val="32"/>
          <w:szCs w:val="32"/>
        </w:rPr>
        <w:t>截止2022年1月底，南京沿江港口企业共53家，其中从事危险货物装卸的港口企业20家，主要集中在龙潭港区、西坝港区、大厂港区、栖霞港区等，涉及散装液体危险货物、危险货物集装箱和包装（件）、固体散装危险货物等作业。南京港沿江现有危险货物码头情况见附件3。</w:t>
      </w:r>
    </w:p>
    <w:p>
      <w:pPr>
        <w:pStyle w:val="3"/>
        <w:snapToGrid w:val="0"/>
        <w:spacing w:line="560" w:lineRule="atLeast"/>
        <w:ind w:firstLine="640" w:firstLineChars="200"/>
        <w:rPr>
          <w:rFonts w:eastAsia="楷体"/>
          <w:b w:val="0"/>
          <w:bCs w:val="0"/>
          <w:sz w:val="32"/>
        </w:rPr>
      </w:pPr>
      <w:bookmarkStart w:id="23" w:name="_Toc121478024"/>
      <w:r>
        <w:rPr>
          <w:rFonts w:eastAsia="楷体"/>
          <w:b w:val="0"/>
          <w:bCs w:val="0"/>
          <w:sz w:val="32"/>
        </w:rPr>
        <w:t>3.2可能发生的主要突发事故类型及风险分析</w:t>
      </w:r>
      <w:bookmarkEnd w:id="23"/>
    </w:p>
    <w:p>
      <w:pPr>
        <w:snapToGrid w:val="0"/>
        <w:spacing w:line="560" w:lineRule="exact"/>
        <w:ind w:firstLine="640" w:firstLineChars="200"/>
        <w:rPr>
          <w:rFonts w:eastAsia="仿宋_GB2312"/>
          <w:sz w:val="32"/>
          <w:szCs w:val="32"/>
        </w:rPr>
      </w:pPr>
      <w:r>
        <w:rPr>
          <w:rFonts w:eastAsia="仿宋_GB2312"/>
          <w:sz w:val="32"/>
          <w:szCs w:val="32"/>
        </w:rPr>
        <w:t>南京市沿江港口可能发生的危险货物突发事故类型包括：火灾、爆炸、中毒窒息、灼烫、起重伤害、车辆伤害、物体打击、淹溺、高处坠落、触电、机械伤害、坍塌、港口大型装卸机械倾覆、机损货损事故、船舶靠离泊事故、泄漏扩散事故等，事故风险分析详见附件4。</w:t>
      </w:r>
    </w:p>
    <w:p>
      <w:pPr>
        <w:pStyle w:val="2"/>
        <w:snapToGrid w:val="0"/>
        <w:spacing w:line="560" w:lineRule="atLeast"/>
        <w:ind w:firstLine="640" w:firstLineChars="200"/>
        <w:rPr>
          <w:b w:val="0"/>
          <w:bCs w:val="0"/>
          <w:szCs w:val="32"/>
        </w:rPr>
      </w:pPr>
      <w:bookmarkStart w:id="24" w:name="_Toc121836101"/>
      <w:bookmarkStart w:id="25" w:name="_Toc121478025"/>
      <w:bookmarkStart w:id="26" w:name="_Toc121836015"/>
      <w:r>
        <w:rPr>
          <w:b w:val="0"/>
          <w:bCs w:val="0"/>
          <w:szCs w:val="32"/>
        </w:rPr>
        <w:t>4 预警预防</w:t>
      </w:r>
      <w:bookmarkEnd w:id="24"/>
      <w:bookmarkEnd w:id="25"/>
      <w:bookmarkEnd w:id="26"/>
    </w:p>
    <w:p>
      <w:pPr>
        <w:pStyle w:val="3"/>
        <w:snapToGrid w:val="0"/>
        <w:spacing w:line="560" w:lineRule="atLeast"/>
        <w:ind w:firstLine="640" w:firstLineChars="200"/>
        <w:rPr>
          <w:rFonts w:eastAsia="楷体"/>
          <w:b w:val="0"/>
          <w:bCs w:val="0"/>
          <w:sz w:val="32"/>
        </w:rPr>
      </w:pPr>
      <w:bookmarkStart w:id="27" w:name="_Toc121478026"/>
      <w:r>
        <w:rPr>
          <w:rFonts w:eastAsia="楷体"/>
          <w:b w:val="0"/>
          <w:bCs w:val="0"/>
          <w:sz w:val="32"/>
        </w:rPr>
        <w:t>4.1信息监测</w:t>
      </w:r>
      <w:bookmarkEnd w:id="27"/>
    </w:p>
    <w:p>
      <w:pPr>
        <w:snapToGrid w:val="0"/>
        <w:spacing w:line="560" w:lineRule="exact"/>
        <w:ind w:firstLine="640" w:firstLineChars="200"/>
        <w:rPr>
          <w:rFonts w:eastAsia="仿宋_GB2312"/>
          <w:sz w:val="32"/>
          <w:szCs w:val="32"/>
        </w:rPr>
      </w:pPr>
      <w:r>
        <w:rPr>
          <w:rFonts w:eastAsia="仿宋_GB2312"/>
          <w:sz w:val="32"/>
          <w:szCs w:val="32"/>
        </w:rPr>
        <w:t>预警信息，是指发生或者可能发生，造成或者可能造成严重社会危害，可以预警的自然灾害、事故灾难等事件信息。</w:t>
      </w:r>
    </w:p>
    <w:p>
      <w:pPr>
        <w:snapToGrid w:val="0"/>
        <w:spacing w:line="560" w:lineRule="exact"/>
        <w:ind w:firstLine="640" w:firstLineChars="200"/>
        <w:rPr>
          <w:rFonts w:eastAsia="仿宋_GB2312"/>
          <w:sz w:val="32"/>
          <w:szCs w:val="32"/>
        </w:rPr>
      </w:pPr>
      <w:r>
        <w:rPr>
          <w:rFonts w:eastAsia="仿宋_GB2312"/>
          <w:sz w:val="32"/>
          <w:szCs w:val="32"/>
        </w:rPr>
        <w:t>（1）港口经营单位负责日常突发事件的监测、预警工作，建立监测体系和安全运行机制，对监测信息及港口安全状况进行汇总分析。</w:t>
      </w:r>
    </w:p>
    <w:p>
      <w:pPr>
        <w:snapToGrid w:val="0"/>
        <w:spacing w:line="560" w:lineRule="exact"/>
        <w:ind w:firstLine="640" w:firstLineChars="200"/>
        <w:rPr>
          <w:rFonts w:eastAsia="仿宋_GB2312"/>
          <w:sz w:val="32"/>
          <w:szCs w:val="32"/>
        </w:rPr>
      </w:pPr>
      <w:r>
        <w:rPr>
          <w:rFonts w:eastAsia="仿宋_GB2312"/>
          <w:sz w:val="32"/>
          <w:szCs w:val="32"/>
        </w:rPr>
        <w:t>（2）市</w:t>
      </w:r>
      <w:r>
        <w:rPr>
          <w:rFonts w:hint="eastAsia" w:eastAsia="仿宋_GB2312"/>
          <w:sz w:val="32"/>
          <w:szCs w:val="32"/>
        </w:rPr>
        <w:t>交通综合</w:t>
      </w:r>
      <w:r>
        <w:rPr>
          <w:rFonts w:eastAsia="仿宋_GB2312"/>
          <w:sz w:val="32"/>
          <w:szCs w:val="32"/>
        </w:rPr>
        <w:t>执法局应急指挥中心收集、汇总南京市港口突发事件日常信息，及时上报市交通运输综合执法监督局和市交通运输局。</w:t>
      </w:r>
    </w:p>
    <w:p>
      <w:pPr>
        <w:snapToGrid w:val="0"/>
        <w:spacing w:line="560" w:lineRule="exact"/>
        <w:ind w:firstLine="640" w:firstLineChars="200"/>
        <w:rPr>
          <w:rFonts w:eastAsia="仿宋_GB2312"/>
          <w:sz w:val="32"/>
          <w:szCs w:val="32"/>
        </w:rPr>
      </w:pPr>
      <w:r>
        <w:rPr>
          <w:rFonts w:eastAsia="仿宋_GB2312"/>
          <w:sz w:val="32"/>
          <w:szCs w:val="32"/>
        </w:rPr>
        <w:t>（3）各部门和相关港口企业负责各自监管范围内可能导致港口突发事件的信息的监测。</w:t>
      </w:r>
    </w:p>
    <w:p>
      <w:pPr>
        <w:pStyle w:val="3"/>
        <w:snapToGrid w:val="0"/>
        <w:spacing w:line="560" w:lineRule="atLeast"/>
        <w:ind w:firstLine="640" w:firstLineChars="200"/>
        <w:rPr>
          <w:rFonts w:eastAsia="楷体"/>
          <w:b w:val="0"/>
          <w:bCs w:val="0"/>
          <w:sz w:val="32"/>
        </w:rPr>
      </w:pPr>
      <w:bookmarkStart w:id="28" w:name="_Toc121478027"/>
      <w:r>
        <w:rPr>
          <w:rFonts w:eastAsia="楷体"/>
          <w:b w:val="0"/>
          <w:bCs w:val="0"/>
          <w:sz w:val="32"/>
        </w:rPr>
        <w:t>4.2预警分级及发布</w:t>
      </w:r>
      <w:bookmarkEnd w:id="28"/>
    </w:p>
    <w:p>
      <w:pPr>
        <w:snapToGrid w:val="0"/>
        <w:spacing w:line="560" w:lineRule="exact"/>
        <w:ind w:firstLine="640" w:firstLineChars="200"/>
        <w:rPr>
          <w:rFonts w:eastAsia="仿宋_GB2312"/>
          <w:sz w:val="32"/>
          <w:szCs w:val="32"/>
        </w:rPr>
      </w:pPr>
      <w:r>
        <w:rPr>
          <w:rFonts w:eastAsia="仿宋_GB2312"/>
          <w:sz w:val="32"/>
          <w:szCs w:val="32"/>
        </w:rPr>
        <w:t>4.2.1现场应急处置措施</w:t>
      </w:r>
    </w:p>
    <w:p>
      <w:pPr>
        <w:snapToGrid w:val="0"/>
        <w:spacing w:line="560" w:lineRule="exact"/>
        <w:ind w:firstLine="640" w:firstLineChars="200"/>
        <w:rPr>
          <w:rFonts w:eastAsia="仿宋_GB2312"/>
          <w:sz w:val="32"/>
          <w:szCs w:val="32"/>
        </w:rPr>
      </w:pPr>
      <w:r>
        <w:rPr>
          <w:rFonts w:eastAsia="仿宋_GB2312"/>
          <w:sz w:val="32"/>
          <w:szCs w:val="32"/>
        </w:rPr>
        <w:t>依据突发事件分级，预警级别由高到低划分为特别重大预警（Ⅰ级预警）、重大预警（Ⅱ级预警）、较大预警（Ⅲ级预警）、一般预警（Ⅳ级预警），依次用红色、橙色、黄色和蓝色来表示。</w:t>
      </w:r>
    </w:p>
    <w:p>
      <w:pPr>
        <w:snapToGrid w:val="0"/>
        <w:spacing w:line="560" w:lineRule="exact"/>
        <w:ind w:firstLine="640" w:firstLineChars="200"/>
        <w:rPr>
          <w:rFonts w:eastAsia="仿宋_GB2312"/>
          <w:sz w:val="32"/>
          <w:szCs w:val="32"/>
        </w:rPr>
      </w:pPr>
      <w:r>
        <w:rPr>
          <w:rFonts w:eastAsia="仿宋_GB2312"/>
          <w:sz w:val="32"/>
          <w:szCs w:val="32"/>
        </w:rPr>
        <w:t>南京市港口突发事件预警分级依据及预警行动具体见表4-1。</w:t>
      </w:r>
    </w:p>
    <w:p>
      <w:pPr>
        <w:snapToGrid w:val="0"/>
        <w:spacing w:line="560" w:lineRule="exact"/>
        <w:ind w:firstLine="640" w:firstLineChars="200"/>
        <w:jc w:val="center"/>
        <w:rPr>
          <w:rFonts w:hint="eastAsia" w:eastAsia="仿宋_GB2312"/>
          <w:sz w:val="32"/>
          <w:szCs w:val="32"/>
        </w:rPr>
      </w:pPr>
    </w:p>
    <w:p>
      <w:pPr>
        <w:snapToGrid w:val="0"/>
        <w:spacing w:line="560" w:lineRule="exact"/>
        <w:ind w:firstLine="640" w:firstLineChars="200"/>
        <w:jc w:val="center"/>
        <w:rPr>
          <w:rFonts w:hint="eastAsia" w:eastAsia="仿宋_GB2312"/>
          <w:sz w:val="32"/>
          <w:szCs w:val="32"/>
        </w:rPr>
      </w:pPr>
    </w:p>
    <w:p>
      <w:pPr>
        <w:snapToGrid w:val="0"/>
        <w:spacing w:line="560" w:lineRule="exact"/>
        <w:ind w:firstLine="640" w:firstLineChars="200"/>
        <w:jc w:val="center"/>
        <w:rPr>
          <w:rFonts w:hint="eastAsia" w:eastAsia="仿宋_GB2312"/>
          <w:sz w:val="32"/>
          <w:szCs w:val="32"/>
        </w:rPr>
      </w:pPr>
    </w:p>
    <w:p>
      <w:pPr>
        <w:snapToGrid w:val="0"/>
        <w:spacing w:line="560" w:lineRule="exact"/>
        <w:ind w:firstLine="640" w:firstLineChars="200"/>
        <w:jc w:val="center"/>
        <w:rPr>
          <w:rFonts w:eastAsia="仿宋_GB2312"/>
          <w:sz w:val="32"/>
          <w:szCs w:val="32"/>
        </w:rPr>
      </w:pPr>
      <w:r>
        <w:rPr>
          <w:rFonts w:eastAsia="仿宋_GB2312"/>
          <w:sz w:val="32"/>
          <w:szCs w:val="32"/>
        </w:rPr>
        <w:t>表4-1  港口突发事件预警分级及预警行动</w:t>
      </w:r>
    </w:p>
    <w:tbl>
      <w:tblPr>
        <w:tblStyle w:val="8"/>
        <w:tblW w:w="0" w:type="auto"/>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474"/>
        <w:gridCol w:w="562"/>
        <w:gridCol w:w="797"/>
        <w:gridCol w:w="3454"/>
        <w:gridCol w:w="4005"/>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PrEx>
        <w:trPr>
          <w:cantSplit/>
          <w:trHeight w:val="20" w:hRule="atLeast"/>
          <w:tblHeader/>
          <w:jc w:val="center"/>
        </w:trPr>
        <w:tc>
          <w:tcPr>
            <w:tcW w:w="0" w:type="auto"/>
            <w:tcBorders>
              <w:top w:val="single" w:color="auto" w:sz="12" w:space="0"/>
              <w:left w:val="single" w:color="auto" w:sz="12" w:space="0"/>
              <w:bottom w:val="single" w:color="auto" w:sz="4" w:space="0"/>
              <w:right w:val="single" w:color="auto" w:sz="4" w:space="0"/>
            </w:tcBorders>
            <w:noWrap w:val="0"/>
            <w:vAlign w:val="center"/>
          </w:tcPr>
          <w:p>
            <w:pPr>
              <w:widowControl/>
              <w:topLinePunct/>
              <w:snapToGrid w:val="0"/>
              <w:spacing w:line="440" w:lineRule="atLeast"/>
              <w:rPr>
                <w:rFonts w:eastAsia="方正黑体_GBK"/>
              </w:rPr>
            </w:pPr>
            <w:r>
              <w:rPr>
                <w:rFonts w:eastAsia="方正黑体_GBK"/>
              </w:rPr>
              <w:t>等级</w:t>
            </w:r>
          </w:p>
        </w:tc>
        <w:tc>
          <w:tcPr>
            <w:tcW w:w="0" w:type="auto"/>
            <w:tcBorders>
              <w:top w:val="single" w:color="auto" w:sz="12" w:space="0"/>
              <w:left w:val="nil"/>
              <w:bottom w:val="single" w:color="auto" w:sz="4" w:space="0"/>
              <w:right w:val="single" w:color="auto" w:sz="4" w:space="0"/>
            </w:tcBorders>
            <w:noWrap w:val="0"/>
            <w:vAlign w:val="center"/>
          </w:tcPr>
          <w:p>
            <w:pPr>
              <w:widowControl/>
              <w:topLinePunct/>
              <w:snapToGrid w:val="0"/>
              <w:spacing w:line="440" w:lineRule="atLeast"/>
              <w:rPr>
                <w:rFonts w:eastAsia="方正黑体_GBK"/>
              </w:rPr>
            </w:pPr>
            <w:r>
              <w:rPr>
                <w:rFonts w:eastAsia="方正黑体_GBK"/>
              </w:rPr>
              <w:t>描述</w:t>
            </w:r>
          </w:p>
        </w:tc>
        <w:tc>
          <w:tcPr>
            <w:tcW w:w="797" w:type="dxa"/>
            <w:tcBorders>
              <w:top w:val="single" w:color="auto" w:sz="12" w:space="0"/>
              <w:left w:val="nil"/>
              <w:bottom w:val="single" w:color="auto" w:sz="4" w:space="0"/>
              <w:right w:val="single" w:color="auto" w:sz="4" w:space="0"/>
            </w:tcBorders>
            <w:noWrap w:val="0"/>
            <w:vAlign w:val="center"/>
          </w:tcPr>
          <w:p>
            <w:pPr>
              <w:widowControl/>
              <w:topLinePunct/>
              <w:snapToGrid w:val="0"/>
              <w:spacing w:line="440" w:lineRule="atLeast"/>
              <w:rPr>
                <w:rFonts w:eastAsia="方正黑体_GBK"/>
              </w:rPr>
            </w:pPr>
            <w:r>
              <w:rPr>
                <w:rFonts w:eastAsia="方正黑体_GBK"/>
              </w:rPr>
              <w:t>颜色标志</w:t>
            </w:r>
          </w:p>
        </w:tc>
        <w:tc>
          <w:tcPr>
            <w:tcW w:w="3455" w:type="dxa"/>
            <w:tcBorders>
              <w:top w:val="single" w:color="auto" w:sz="12" w:space="0"/>
              <w:left w:val="nil"/>
              <w:bottom w:val="single" w:color="auto" w:sz="4" w:space="0"/>
              <w:right w:val="single" w:color="auto" w:sz="4" w:space="0"/>
            </w:tcBorders>
            <w:noWrap w:val="0"/>
            <w:vAlign w:val="center"/>
          </w:tcPr>
          <w:p>
            <w:pPr>
              <w:widowControl/>
              <w:topLinePunct/>
              <w:snapToGrid w:val="0"/>
              <w:spacing w:line="440" w:lineRule="atLeast"/>
              <w:rPr>
                <w:rFonts w:eastAsia="方正黑体_GBK"/>
              </w:rPr>
            </w:pPr>
            <w:r>
              <w:rPr>
                <w:rFonts w:eastAsia="方正黑体_GBK"/>
              </w:rPr>
              <w:t>分级依据</w:t>
            </w:r>
          </w:p>
        </w:tc>
        <w:tc>
          <w:tcPr>
            <w:tcW w:w="0" w:type="auto"/>
            <w:tcBorders>
              <w:top w:val="single" w:color="auto" w:sz="12" w:space="0"/>
              <w:left w:val="nil"/>
              <w:bottom w:val="single" w:color="auto" w:sz="4" w:space="0"/>
              <w:right w:val="single" w:color="auto" w:sz="12" w:space="0"/>
            </w:tcBorders>
            <w:noWrap w:val="0"/>
            <w:vAlign w:val="center"/>
          </w:tcPr>
          <w:p>
            <w:pPr>
              <w:widowControl/>
              <w:topLinePunct/>
              <w:snapToGrid w:val="0"/>
              <w:spacing w:line="440" w:lineRule="atLeast"/>
              <w:rPr>
                <w:rFonts w:eastAsia="方正黑体_GBK"/>
              </w:rPr>
            </w:pPr>
            <w:r>
              <w:rPr>
                <w:rFonts w:eastAsia="方正黑体_GBK"/>
              </w:rPr>
              <w:t>预警行动</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12" w:space="0"/>
              <w:bottom w:val="single" w:color="auto" w:sz="4" w:space="0"/>
              <w:right w:val="single" w:color="auto" w:sz="4" w:space="0"/>
            </w:tcBorders>
            <w:shd w:val="clear" w:color="auto" w:fill="auto"/>
            <w:noWrap w:val="0"/>
            <w:vAlign w:val="center"/>
          </w:tcPr>
          <w:p>
            <w:pPr>
              <w:widowControl/>
              <w:topLinePunct/>
              <w:snapToGrid w:val="0"/>
              <w:spacing w:line="440" w:lineRule="atLeast"/>
              <w:rPr>
                <w:rFonts w:eastAsia="方正书宋_GBK"/>
              </w:rPr>
            </w:pPr>
            <w:r>
              <w:rPr>
                <w:rFonts w:eastAsia="方正书宋_GBK"/>
              </w:rPr>
              <w:t>Ⅰ级</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widowControl/>
              <w:topLinePunct/>
              <w:snapToGrid w:val="0"/>
              <w:spacing w:line="440" w:lineRule="atLeast"/>
              <w:rPr>
                <w:rFonts w:eastAsia="方正书宋_GBK"/>
              </w:rPr>
            </w:pPr>
            <w:r>
              <w:rPr>
                <w:rFonts w:eastAsia="方正书宋_GBK"/>
              </w:rPr>
              <w:t>特别重大</w:t>
            </w:r>
          </w:p>
        </w:tc>
        <w:tc>
          <w:tcPr>
            <w:tcW w:w="797" w:type="dxa"/>
            <w:tcBorders>
              <w:top w:val="single" w:color="auto" w:sz="4" w:space="0"/>
              <w:left w:val="nil"/>
              <w:bottom w:val="single" w:color="auto" w:sz="4" w:space="0"/>
              <w:right w:val="single" w:color="auto" w:sz="4" w:space="0"/>
            </w:tcBorders>
            <w:shd w:val="clear" w:color="auto" w:fill="FF0000"/>
            <w:noWrap w:val="0"/>
            <w:vAlign w:val="center"/>
          </w:tcPr>
          <w:p>
            <w:pPr>
              <w:widowControl/>
              <w:topLinePunct/>
              <w:snapToGrid w:val="0"/>
              <w:spacing w:line="440" w:lineRule="atLeast"/>
              <w:rPr>
                <w:rFonts w:eastAsia="方正书宋_GBK"/>
              </w:rPr>
            </w:pPr>
            <w:r>
              <w:rPr>
                <w:rFonts w:eastAsia="方正书宋_GBK"/>
              </w:rPr>
              <w:t>红色</w:t>
            </w:r>
          </w:p>
        </w:tc>
        <w:tc>
          <w:tcPr>
            <w:tcW w:w="3455" w:type="dxa"/>
            <w:tcBorders>
              <w:top w:val="single" w:color="auto" w:sz="4" w:space="0"/>
              <w:left w:val="nil"/>
              <w:bottom w:val="single" w:color="auto" w:sz="4" w:space="0"/>
              <w:right w:val="single" w:color="auto" w:sz="4" w:space="0"/>
            </w:tcBorders>
            <w:noWrap w:val="0"/>
            <w:vAlign w:val="top"/>
          </w:tcPr>
          <w:p>
            <w:pPr>
              <w:widowControl/>
              <w:topLinePunct/>
              <w:snapToGrid w:val="0"/>
              <w:spacing w:line="440" w:lineRule="atLeast"/>
              <w:rPr>
                <w:rFonts w:eastAsia="方正书宋_GBK"/>
              </w:rPr>
            </w:pPr>
            <w:r>
              <w:rPr>
                <w:rFonts w:eastAsia="方正书宋_GBK"/>
              </w:rPr>
              <w:t>1．停靠港口码头的危险货物船舶发生火灾、爆炸，预计可能威胁港口安全运行，对港口生产和人员、设施安全造成特别严重影响，达到Ⅰ级港口突发事件标准的；</w:t>
            </w:r>
          </w:p>
          <w:p>
            <w:pPr>
              <w:widowControl/>
              <w:topLinePunct/>
              <w:snapToGrid w:val="0"/>
              <w:spacing w:line="400" w:lineRule="atLeast"/>
              <w:rPr>
                <w:rFonts w:eastAsia="方正书宋_GBK"/>
              </w:rPr>
            </w:pPr>
            <w:r>
              <w:rPr>
                <w:rFonts w:eastAsia="方正书宋_GBK"/>
              </w:rPr>
              <w:t>2．港区液体化学品储罐发生火灾、爆炸事故，预计可能威胁罐区安全运行，导致港区生产瘫痪或危害超过港区范围，影响相邻港区、周边居民，达到Ⅰ级港口突发事件标准的；</w:t>
            </w:r>
          </w:p>
          <w:p>
            <w:pPr>
              <w:widowControl/>
              <w:topLinePunct/>
              <w:snapToGrid w:val="0"/>
              <w:spacing w:line="400" w:lineRule="atLeast"/>
              <w:rPr>
                <w:rFonts w:eastAsia="方正书宋_GBK"/>
              </w:rPr>
            </w:pPr>
            <w:r>
              <w:rPr>
                <w:rFonts w:eastAsia="方正书宋_GBK"/>
              </w:rPr>
              <w:t>3．泄漏导致大量人员中毒受害，或长江水域、生态破坏，或严重影响经济、社会正常活动的，或水源污染半径超出江苏省辖区范围，达到Ⅰ级港口突发事件标准的；</w:t>
            </w:r>
          </w:p>
          <w:p>
            <w:pPr>
              <w:widowControl/>
              <w:topLinePunct/>
              <w:snapToGrid w:val="0"/>
              <w:spacing w:line="400" w:lineRule="atLeast"/>
              <w:rPr>
                <w:rFonts w:eastAsia="方正书宋_GBK"/>
              </w:rPr>
            </w:pPr>
            <w:r>
              <w:rPr>
                <w:rFonts w:eastAsia="方正书宋_GBK"/>
              </w:rPr>
              <w:t>4．国家气象局、国家海洋预报台等发布Ⅰ级台风、大风、洪水、暴雨等自然灾害预警，或多个省级气象部门发布Ⅱ级及以上自然灾害预警信息，预计可能威胁港口安全运行，对港口生产和人员、设施安全造成特别严重影响的；</w:t>
            </w:r>
          </w:p>
          <w:p>
            <w:pPr>
              <w:widowControl/>
              <w:topLinePunct/>
              <w:snapToGrid w:val="0"/>
              <w:spacing w:line="400" w:lineRule="atLeast"/>
              <w:rPr>
                <w:rFonts w:eastAsia="方正书宋_GBK"/>
              </w:rPr>
            </w:pPr>
            <w:r>
              <w:rPr>
                <w:rFonts w:eastAsia="方正书宋_GBK"/>
              </w:rPr>
              <w:t>5．在南京市行政区域内，气象主管机构所属气象站预测出现灾害性天气气候过程，其强度达到国务院气象主管机构制定的极大灾害性天气气候标准的；</w:t>
            </w:r>
          </w:p>
          <w:p>
            <w:pPr>
              <w:widowControl/>
              <w:topLinePunct/>
              <w:snapToGrid w:val="0"/>
              <w:spacing w:line="400" w:lineRule="atLeast"/>
              <w:rPr>
                <w:rFonts w:eastAsia="方正书宋_GBK"/>
              </w:rPr>
            </w:pPr>
            <w:r>
              <w:rPr>
                <w:rFonts w:eastAsia="方正书宋_GBK"/>
              </w:rPr>
              <w:t>6．在辖区内长江流域发生特大洪水。</w:t>
            </w:r>
          </w:p>
        </w:tc>
        <w:tc>
          <w:tcPr>
            <w:tcW w:w="0" w:type="auto"/>
            <w:tcBorders>
              <w:top w:val="single" w:color="auto" w:sz="4" w:space="0"/>
              <w:left w:val="nil"/>
              <w:bottom w:val="single" w:color="auto" w:sz="4" w:space="0"/>
              <w:right w:val="single" w:color="auto" w:sz="12" w:space="0"/>
            </w:tcBorders>
            <w:noWrap w:val="0"/>
            <w:vAlign w:val="top"/>
          </w:tcPr>
          <w:p>
            <w:pPr>
              <w:widowControl/>
              <w:topLinePunct/>
              <w:snapToGrid w:val="0"/>
              <w:spacing w:line="440" w:lineRule="atLeast"/>
              <w:rPr>
                <w:rFonts w:eastAsia="方正书宋_GBK"/>
              </w:rPr>
            </w:pPr>
            <w:r>
              <w:rPr>
                <w:rFonts w:eastAsia="方正书宋_GBK"/>
              </w:rPr>
              <w:t>1．市</w:t>
            </w:r>
            <w:r>
              <w:rPr>
                <w:rFonts w:hint="eastAsia" w:eastAsia="方正书宋_GBK"/>
              </w:rPr>
              <w:t>交通综合</w:t>
            </w:r>
            <w:r>
              <w:rPr>
                <w:rFonts w:eastAsia="方正书宋_GBK"/>
              </w:rPr>
              <w:t>执法局应急指挥中心收到特别重大风险信息（Ⅰ级、红色）后，密切关注风险源动态，立即向各成员单位、港口传达预警信息；</w:t>
            </w:r>
          </w:p>
          <w:p>
            <w:pPr>
              <w:widowControl/>
              <w:topLinePunct/>
              <w:snapToGrid w:val="0"/>
              <w:spacing w:line="440" w:lineRule="atLeast"/>
              <w:rPr>
                <w:rFonts w:eastAsia="方正书宋_GBK"/>
              </w:rPr>
            </w:pPr>
            <w:r>
              <w:rPr>
                <w:rFonts w:eastAsia="方正书宋_GBK"/>
              </w:rPr>
              <w:t>2．南京市交通运输局应急指挥部指挥长或副指挥长配合国家应急救援队伍，组织协调内部救援队伍防抗工作；</w:t>
            </w:r>
          </w:p>
          <w:p>
            <w:pPr>
              <w:widowControl/>
              <w:topLinePunct/>
              <w:snapToGrid w:val="0"/>
              <w:spacing w:line="440" w:lineRule="atLeast"/>
              <w:rPr>
                <w:rFonts w:eastAsia="方正书宋_GBK"/>
              </w:rPr>
            </w:pPr>
            <w:r>
              <w:rPr>
                <w:rFonts w:eastAsia="方正书宋_GBK"/>
              </w:rPr>
              <w:t>3．每小时至少向相关港口传达一次预警信息；</w:t>
            </w:r>
          </w:p>
          <w:p>
            <w:pPr>
              <w:widowControl/>
              <w:topLinePunct/>
              <w:snapToGrid w:val="0"/>
              <w:spacing w:line="440" w:lineRule="atLeast"/>
              <w:rPr>
                <w:rFonts w:eastAsia="方正书宋_GBK"/>
              </w:rPr>
            </w:pPr>
            <w:r>
              <w:rPr>
                <w:rFonts w:eastAsia="方正书宋_GBK"/>
              </w:rPr>
              <w:t>4．相关成员单位、各搜救力量进入24小时应急待命状态，保持24小时通讯畅通；</w:t>
            </w:r>
          </w:p>
          <w:p>
            <w:pPr>
              <w:widowControl/>
              <w:topLinePunct/>
              <w:snapToGrid w:val="0"/>
              <w:spacing w:line="440" w:lineRule="atLeast"/>
              <w:rPr>
                <w:rFonts w:eastAsia="方正书宋_GBK"/>
              </w:rPr>
            </w:pPr>
            <w:r>
              <w:rPr>
                <w:rFonts w:eastAsia="方正书宋_GBK"/>
              </w:rPr>
              <w:t>5．调集应急救援所需的物资、设备、工具，准备应急设施和避难场所，并确保其处于良好状态、随时可以投入使用。必要时，集结应急救援力量预先布置到可能事发区域；</w:t>
            </w:r>
          </w:p>
          <w:p>
            <w:pPr>
              <w:widowControl/>
              <w:topLinePunct/>
              <w:snapToGrid w:val="0"/>
              <w:spacing w:line="440" w:lineRule="atLeast"/>
              <w:rPr>
                <w:rFonts w:eastAsia="方正书宋_GBK"/>
              </w:rPr>
            </w:pPr>
            <w:r>
              <w:rPr>
                <w:rFonts w:eastAsia="方正书宋_GBK"/>
              </w:rPr>
              <w:t>6．疏散、转移或者撤离易受突发事件危害的人员并予以妥善安置，转移重要财产；</w:t>
            </w:r>
          </w:p>
          <w:p>
            <w:pPr>
              <w:widowControl/>
              <w:topLinePunct/>
              <w:snapToGrid w:val="0"/>
              <w:spacing w:line="440" w:lineRule="atLeast"/>
              <w:rPr>
                <w:rFonts w:eastAsia="方正书宋_GBK"/>
              </w:rPr>
            </w:pPr>
            <w:r>
              <w:rPr>
                <w:rFonts w:eastAsia="方正书宋_GBK"/>
              </w:rPr>
              <w:t>7．采取必要措施，确保交通、通信、供水、排水、供电、供气、供热等公共设施的安全和正常运行；</w:t>
            </w:r>
          </w:p>
          <w:p>
            <w:pPr>
              <w:widowControl/>
              <w:topLinePunct/>
              <w:snapToGrid w:val="0"/>
              <w:spacing w:line="440" w:lineRule="atLeast"/>
              <w:rPr>
                <w:rFonts w:eastAsia="方正书宋_GBK"/>
              </w:rPr>
            </w:pPr>
            <w:r>
              <w:rPr>
                <w:rFonts w:eastAsia="方正书宋_GBK"/>
              </w:rPr>
              <w:t>8．禁止港口码头装卸作业，加强现场巡查维护。</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12" w:space="0"/>
              <w:bottom w:val="single" w:color="auto" w:sz="4" w:space="0"/>
              <w:right w:val="single" w:color="auto" w:sz="4" w:space="0"/>
            </w:tcBorders>
            <w:shd w:val="clear" w:color="auto" w:fill="auto"/>
            <w:noWrap w:val="0"/>
            <w:vAlign w:val="center"/>
          </w:tcPr>
          <w:p>
            <w:pPr>
              <w:widowControl/>
              <w:topLinePunct/>
              <w:snapToGrid w:val="0"/>
              <w:spacing w:line="440" w:lineRule="atLeast"/>
              <w:rPr>
                <w:rFonts w:eastAsia="方正书宋_GBK"/>
              </w:rPr>
            </w:pPr>
            <w:r>
              <w:rPr>
                <w:rFonts w:eastAsia="方正书宋_GBK"/>
              </w:rPr>
              <w:t>Ⅱ级</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widowControl/>
              <w:topLinePunct/>
              <w:snapToGrid w:val="0"/>
              <w:spacing w:line="440" w:lineRule="atLeast"/>
              <w:rPr>
                <w:rFonts w:eastAsia="方正书宋_GBK"/>
              </w:rPr>
            </w:pPr>
            <w:r>
              <w:rPr>
                <w:rFonts w:eastAsia="方正书宋_GBK"/>
              </w:rPr>
              <w:t>重大</w:t>
            </w:r>
          </w:p>
        </w:tc>
        <w:tc>
          <w:tcPr>
            <w:tcW w:w="797" w:type="dxa"/>
            <w:tcBorders>
              <w:top w:val="single" w:color="auto" w:sz="4" w:space="0"/>
              <w:left w:val="nil"/>
              <w:bottom w:val="single" w:color="auto" w:sz="4" w:space="0"/>
              <w:right w:val="single" w:color="auto" w:sz="4" w:space="0"/>
            </w:tcBorders>
            <w:shd w:val="clear" w:color="auto" w:fill="FF6600"/>
            <w:noWrap w:val="0"/>
            <w:vAlign w:val="center"/>
          </w:tcPr>
          <w:p>
            <w:pPr>
              <w:widowControl/>
              <w:topLinePunct/>
              <w:snapToGrid w:val="0"/>
              <w:spacing w:line="440" w:lineRule="atLeast"/>
              <w:rPr>
                <w:rFonts w:eastAsia="方正书宋_GBK"/>
              </w:rPr>
            </w:pPr>
            <w:r>
              <w:rPr>
                <w:rFonts w:eastAsia="方正书宋_GBK"/>
              </w:rPr>
              <w:t>橙色</w:t>
            </w:r>
          </w:p>
        </w:tc>
        <w:tc>
          <w:tcPr>
            <w:tcW w:w="3455" w:type="dxa"/>
            <w:tcBorders>
              <w:top w:val="single" w:color="auto" w:sz="4" w:space="0"/>
              <w:left w:val="nil"/>
              <w:bottom w:val="single" w:color="auto" w:sz="4" w:space="0"/>
              <w:right w:val="single" w:color="auto" w:sz="4" w:space="0"/>
            </w:tcBorders>
            <w:noWrap w:val="0"/>
            <w:vAlign w:val="top"/>
          </w:tcPr>
          <w:p>
            <w:pPr>
              <w:widowControl/>
              <w:topLinePunct/>
              <w:snapToGrid w:val="0"/>
              <w:spacing w:line="420" w:lineRule="atLeast"/>
              <w:rPr>
                <w:rFonts w:eastAsia="方正书宋_GBK"/>
              </w:rPr>
            </w:pPr>
            <w:r>
              <w:rPr>
                <w:rFonts w:eastAsia="方正书宋_GBK"/>
              </w:rPr>
              <w:t>1．停靠码头的危险货物船舶发生火灾、爆炸，预计可能威胁港口安全运行，对港口生产和人员、设施安全造成严重影响，达到Ⅱ级港口突发事件标准的；</w:t>
            </w:r>
          </w:p>
          <w:p>
            <w:pPr>
              <w:widowControl/>
              <w:topLinePunct/>
              <w:snapToGrid w:val="0"/>
              <w:spacing w:line="420" w:lineRule="atLeast"/>
              <w:rPr>
                <w:rFonts w:eastAsia="方正书宋_GBK"/>
              </w:rPr>
            </w:pPr>
            <w:r>
              <w:rPr>
                <w:rFonts w:eastAsia="方正书宋_GBK"/>
              </w:rPr>
              <w:t>2．港区危险货物储罐发生火灾、爆炸，预计港区四周设备设施将受到严重威胁，周边港口企业受到严重影响，达到Ⅱ级港口突发事件标准的；</w:t>
            </w:r>
          </w:p>
          <w:p>
            <w:pPr>
              <w:widowControl/>
              <w:topLinePunct/>
              <w:snapToGrid w:val="0"/>
              <w:spacing w:line="420" w:lineRule="atLeast"/>
              <w:rPr>
                <w:rFonts w:eastAsia="方正书宋_GBK"/>
              </w:rPr>
            </w:pPr>
            <w:r>
              <w:rPr>
                <w:rFonts w:eastAsia="方正书宋_GBK"/>
              </w:rPr>
              <w:t>3．泄漏导致众多人员中毒受害，或当地水域、生态受到重大破坏，或对当地经济、社会正常活动有重大影响，或水源污染半径超出地、市域范围，达到Ⅱ级港口突发事件标准的；</w:t>
            </w:r>
          </w:p>
          <w:p>
            <w:pPr>
              <w:widowControl/>
              <w:topLinePunct/>
              <w:snapToGrid w:val="0"/>
              <w:spacing w:line="420" w:lineRule="atLeast"/>
              <w:rPr>
                <w:rFonts w:eastAsia="方正书宋_GBK"/>
              </w:rPr>
            </w:pPr>
            <w:r>
              <w:rPr>
                <w:rFonts w:eastAsia="方正书宋_GBK"/>
              </w:rPr>
              <w:t>4．国家气象局、国家海洋预报台等发布Ⅱ级台风、大风、洪水、暴雨等自然灾害预警，或多个省级气象部门发布Ⅲ级及以上自然灾害预警信息，预计可能威胁港口安全运行，对港口生产和人员、设施安全造成重大影响的；</w:t>
            </w:r>
          </w:p>
          <w:p>
            <w:pPr>
              <w:widowControl/>
              <w:topLinePunct/>
              <w:snapToGrid w:val="0"/>
              <w:spacing w:line="420" w:lineRule="atLeast"/>
              <w:rPr>
                <w:rFonts w:eastAsia="方正书宋_GBK"/>
              </w:rPr>
            </w:pPr>
            <w:r>
              <w:rPr>
                <w:rFonts w:eastAsia="方正书宋_GBK"/>
              </w:rPr>
              <w:t>5．在江苏省（区、市）行政区域内，气象主管机构所属气象台站预测出现灾害性天气气候过程，其强度达到国务院气象主管机构制定的特大灾害性天气气候标准的；</w:t>
            </w:r>
          </w:p>
          <w:p>
            <w:pPr>
              <w:widowControl/>
              <w:topLinePunct/>
              <w:snapToGrid w:val="0"/>
              <w:spacing w:line="420" w:lineRule="atLeast"/>
              <w:rPr>
                <w:rFonts w:eastAsia="方正书宋_GBK"/>
              </w:rPr>
            </w:pPr>
            <w:r>
              <w:rPr>
                <w:rFonts w:eastAsia="方正书宋_GBK"/>
              </w:rPr>
              <w:t>6．一个流域发生特大洪水，或数省（区、市）多个市（地）发生严重洪涝灾害。</w:t>
            </w:r>
          </w:p>
        </w:tc>
        <w:tc>
          <w:tcPr>
            <w:tcW w:w="0" w:type="auto"/>
            <w:tcBorders>
              <w:top w:val="single" w:color="auto" w:sz="4" w:space="0"/>
              <w:left w:val="nil"/>
              <w:bottom w:val="single" w:color="auto" w:sz="4" w:space="0"/>
              <w:right w:val="single" w:color="auto" w:sz="12" w:space="0"/>
            </w:tcBorders>
            <w:noWrap w:val="0"/>
            <w:vAlign w:val="top"/>
          </w:tcPr>
          <w:p>
            <w:pPr>
              <w:widowControl/>
              <w:topLinePunct/>
              <w:snapToGrid w:val="0"/>
              <w:spacing w:line="440" w:lineRule="atLeast"/>
              <w:rPr>
                <w:rFonts w:eastAsia="方正书宋_GBK"/>
              </w:rPr>
            </w:pPr>
            <w:r>
              <w:rPr>
                <w:rFonts w:eastAsia="方正书宋_GBK"/>
              </w:rPr>
              <w:t>1．市</w:t>
            </w:r>
            <w:r>
              <w:rPr>
                <w:rFonts w:hint="eastAsia" w:eastAsia="方正书宋_GBK"/>
              </w:rPr>
              <w:t>交通综合</w:t>
            </w:r>
            <w:r>
              <w:rPr>
                <w:rFonts w:eastAsia="方正书宋_GBK"/>
              </w:rPr>
              <w:t>执法局应急指挥中心收到重大风险信息（Ⅱ级、橙色）后，密切关注风险源动态，立即向各成员单位、港口传达预警信息；</w:t>
            </w:r>
          </w:p>
          <w:p>
            <w:pPr>
              <w:widowControl/>
              <w:topLinePunct/>
              <w:snapToGrid w:val="0"/>
              <w:spacing w:line="440" w:lineRule="atLeast"/>
              <w:rPr>
                <w:rFonts w:eastAsia="方正书宋_GBK"/>
              </w:rPr>
            </w:pPr>
            <w:r>
              <w:rPr>
                <w:rFonts w:eastAsia="方正书宋_GBK"/>
              </w:rPr>
              <w:t>2．南京市交通运输局应急指挥部副指挥长或市内河水上搜救中心办公室负责人组织指挥防抗工作；</w:t>
            </w:r>
          </w:p>
          <w:p>
            <w:pPr>
              <w:widowControl/>
              <w:topLinePunct/>
              <w:snapToGrid w:val="0"/>
              <w:spacing w:line="440" w:lineRule="atLeast"/>
              <w:rPr>
                <w:rFonts w:eastAsia="方正书宋_GBK"/>
              </w:rPr>
            </w:pPr>
            <w:r>
              <w:rPr>
                <w:rFonts w:eastAsia="方正书宋_GBK"/>
              </w:rPr>
              <w:t>3．每3小时至少向相关港口传达一次预警信息；</w:t>
            </w:r>
          </w:p>
          <w:p>
            <w:pPr>
              <w:widowControl/>
              <w:topLinePunct/>
              <w:snapToGrid w:val="0"/>
              <w:spacing w:line="440" w:lineRule="atLeast"/>
              <w:rPr>
                <w:rFonts w:eastAsia="方正书宋_GBK"/>
              </w:rPr>
            </w:pPr>
            <w:r>
              <w:rPr>
                <w:rFonts w:eastAsia="方正书宋_GBK"/>
              </w:rPr>
              <w:t>4．相关成员单位、各搜救力量进入24小时应急待命状态，保持24小时通讯畅通；</w:t>
            </w:r>
          </w:p>
          <w:p>
            <w:pPr>
              <w:widowControl/>
              <w:topLinePunct/>
              <w:snapToGrid w:val="0"/>
              <w:spacing w:line="440" w:lineRule="atLeast"/>
              <w:rPr>
                <w:rFonts w:eastAsia="方正书宋_GBK"/>
              </w:rPr>
            </w:pPr>
            <w:r>
              <w:rPr>
                <w:rFonts w:eastAsia="方正书宋_GBK"/>
              </w:rPr>
              <w:t>5．调集应急救援所需的物资、设备、工具，准备应急设施和避难场所，并确保其处于良好状态、随时可以投入使用。必要时，集结应急救援力量预先布置到可能事发区域；</w:t>
            </w:r>
          </w:p>
          <w:p>
            <w:pPr>
              <w:widowControl/>
              <w:topLinePunct/>
              <w:snapToGrid w:val="0"/>
              <w:spacing w:line="440" w:lineRule="atLeast"/>
              <w:rPr>
                <w:rFonts w:eastAsia="方正书宋_GBK"/>
              </w:rPr>
            </w:pPr>
            <w:r>
              <w:rPr>
                <w:rFonts w:eastAsia="方正书宋_GBK"/>
              </w:rPr>
              <w:t>6．疏散、转移或者撤离易受突发事件危害的人员并予以妥善安置，转移重要财产；</w:t>
            </w:r>
          </w:p>
          <w:p>
            <w:pPr>
              <w:widowControl/>
              <w:topLinePunct/>
              <w:snapToGrid w:val="0"/>
              <w:spacing w:line="440" w:lineRule="atLeast"/>
              <w:rPr>
                <w:rFonts w:eastAsia="方正书宋_GBK"/>
              </w:rPr>
            </w:pPr>
            <w:r>
              <w:rPr>
                <w:rFonts w:eastAsia="方正书宋_GBK"/>
              </w:rPr>
              <w:t>7．采取必要措施，确保交通、通信、供水、排水、供电、供气、供热等公共设施的安全和正常运行；</w:t>
            </w:r>
          </w:p>
          <w:p>
            <w:pPr>
              <w:widowControl/>
              <w:topLinePunct/>
              <w:snapToGrid w:val="0"/>
              <w:spacing w:line="440" w:lineRule="atLeast"/>
              <w:rPr>
                <w:rFonts w:eastAsia="方正书宋_GBK"/>
              </w:rPr>
            </w:pPr>
            <w:r>
              <w:rPr>
                <w:rFonts w:eastAsia="方正书宋_GBK"/>
              </w:rPr>
              <w:t>8．禁止港口码头装卸作业，加强现场巡查维护。</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12" w:space="0"/>
              <w:bottom w:val="single" w:color="auto" w:sz="4" w:space="0"/>
              <w:right w:val="single" w:color="auto" w:sz="4" w:space="0"/>
            </w:tcBorders>
            <w:shd w:val="clear" w:color="auto" w:fill="auto"/>
            <w:noWrap w:val="0"/>
            <w:vAlign w:val="center"/>
          </w:tcPr>
          <w:p>
            <w:pPr>
              <w:widowControl/>
              <w:topLinePunct/>
              <w:snapToGrid w:val="0"/>
              <w:spacing w:line="440" w:lineRule="atLeast"/>
              <w:rPr>
                <w:rFonts w:eastAsia="方正书宋_GBK"/>
              </w:rPr>
            </w:pPr>
            <w:r>
              <w:rPr>
                <w:rFonts w:eastAsia="方正书宋_GBK"/>
              </w:rPr>
              <w:t>Ⅲ级</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pPr>
              <w:widowControl/>
              <w:topLinePunct/>
              <w:snapToGrid w:val="0"/>
              <w:spacing w:line="440" w:lineRule="atLeast"/>
              <w:rPr>
                <w:rFonts w:eastAsia="方正书宋_GBK"/>
              </w:rPr>
            </w:pPr>
            <w:r>
              <w:rPr>
                <w:rFonts w:eastAsia="方正书宋_GBK"/>
              </w:rPr>
              <w:t>较大</w:t>
            </w:r>
          </w:p>
        </w:tc>
        <w:tc>
          <w:tcPr>
            <w:tcW w:w="797" w:type="dxa"/>
            <w:tcBorders>
              <w:top w:val="single" w:color="auto" w:sz="4" w:space="0"/>
              <w:left w:val="nil"/>
              <w:bottom w:val="single" w:color="auto" w:sz="4" w:space="0"/>
              <w:right w:val="single" w:color="auto" w:sz="4" w:space="0"/>
            </w:tcBorders>
            <w:shd w:val="clear" w:color="auto" w:fill="FFFF00"/>
            <w:noWrap w:val="0"/>
            <w:vAlign w:val="center"/>
          </w:tcPr>
          <w:p>
            <w:pPr>
              <w:widowControl/>
              <w:topLinePunct/>
              <w:snapToGrid w:val="0"/>
              <w:spacing w:line="440" w:lineRule="atLeast"/>
              <w:rPr>
                <w:rFonts w:eastAsia="方正书宋_GBK"/>
              </w:rPr>
            </w:pPr>
            <w:r>
              <w:rPr>
                <w:rFonts w:eastAsia="方正书宋_GBK"/>
              </w:rPr>
              <w:t>黄色</w:t>
            </w:r>
          </w:p>
        </w:tc>
        <w:tc>
          <w:tcPr>
            <w:tcW w:w="3455" w:type="dxa"/>
            <w:tcBorders>
              <w:top w:val="single" w:color="auto" w:sz="4" w:space="0"/>
              <w:left w:val="nil"/>
              <w:bottom w:val="single" w:color="auto" w:sz="4" w:space="0"/>
              <w:right w:val="single" w:color="auto" w:sz="4" w:space="0"/>
            </w:tcBorders>
            <w:noWrap w:val="0"/>
            <w:vAlign w:val="center"/>
          </w:tcPr>
          <w:p>
            <w:pPr>
              <w:widowControl/>
              <w:topLinePunct/>
              <w:snapToGrid w:val="0"/>
              <w:spacing w:line="440" w:lineRule="atLeast"/>
              <w:rPr>
                <w:rFonts w:eastAsia="方正书宋_GBK"/>
              </w:rPr>
            </w:pPr>
            <w:r>
              <w:rPr>
                <w:rFonts w:eastAsia="方正书宋_GBK"/>
              </w:rPr>
              <w:t>1．停靠码头的危险货物船舶发生火灾、爆炸，预计可能威胁港口安全运行，对港口生产和人员、设施安全造成较大影响，达到Ⅲ级港口突发事件标准的；</w:t>
            </w:r>
          </w:p>
          <w:p>
            <w:pPr>
              <w:widowControl/>
              <w:topLinePunct/>
              <w:snapToGrid w:val="0"/>
              <w:spacing w:line="440" w:lineRule="atLeast"/>
              <w:rPr>
                <w:rFonts w:eastAsia="方正书宋_GBK"/>
              </w:rPr>
            </w:pPr>
            <w:r>
              <w:rPr>
                <w:rFonts w:eastAsia="方正书宋_GBK"/>
              </w:rPr>
              <w:t>2．港区油品储罐或其他液体化学品储罐发生火灾、爆炸，周边港口企业受到较大影响，达到Ⅲ级港口突发事件标准的；</w:t>
            </w:r>
          </w:p>
          <w:p>
            <w:pPr>
              <w:widowControl/>
              <w:topLinePunct/>
              <w:snapToGrid w:val="0"/>
              <w:spacing w:line="440" w:lineRule="atLeast"/>
              <w:rPr>
                <w:rFonts w:eastAsia="方正书宋_GBK"/>
              </w:rPr>
            </w:pPr>
            <w:r>
              <w:rPr>
                <w:rFonts w:eastAsia="方正书宋_GBK"/>
              </w:rPr>
              <w:t>3．泄漏导致较多人员中毒受害，或当地水域、生态受到较大的破坏，或对当地经济、社会正常活动有较大影响，或水源污染半径超出区域范围，达到Ⅲ级港口突发事件标准的；</w:t>
            </w:r>
          </w:p>
          <w:p>
            <w:pPr>
              <w:widowControl/>
              <w:topLinePunct/>
              <w:snapToGrid w:val="0"/>
              <w:spacing w:line="440" w:lineRule="atLeast"/>
              <w:rPr>
                <w:rFonts w:eastAsia="方正书宋_GBK"/>
              </w:rPr>
            </w:pPr>
            <w:r>
              <w:rPr>
                <w:rFonts w:eastAsia="方正书宋_GBK"/>
              </w:rPr>
              <w:t>4．国家气象局、国家海洋预报台等发布Ⅲ级台风、大风、洪水、暴雨等自然灾害预警，或多个省级气象部门发布Ⅳ级及以上自然灾害预警信息，预计可能威胁港口安全运行，可能对港口生产和人员、设施安全造成较大影响的；</w:t>
            </w:r>
          </w:p>
          <w:p>
            <w:pPr>
              <w:widowControl/>
              <w:topLinePunct/>
              <w:snapToGrid w:val="0"/>
              <w:spacing w:line="440" w:lineRule="atLeast"/>
              <w:rPr>
                <w:rFonts w:eastAsia="方正书宋_GBK"/>
              </w:rPr>
            </w:pPr>
            <w:r>
              <w:rPr>
                <w:rFonts w:eastAsia="方正书宋_GBK"/>
              </w:rPr>
              <w:t>5．在南京市级行政区域内，气象主管机构所属气象站预测出现灾害性天气气候过程，其强度达到国务院气象主管机构制定的重大灾害性天气气候标准的；</w:t>
            </w:r>
          </w:p>
          <w:p>
            <w:pPr>
              <w:widowControl/>
              <w:topLinePunct/>
              <w:snapToGrid w:val="0"/>
              <w:spacing w:line="440" w:lineRule="atLeast"/>
              <w:rPr>
                <w:rFonts w:eastAsia="方正书宋_GBK"/>
              </w:rPr>
            </w:pPr>
            <w:r>
              <w:rPr>
                <w:rFonts w:eastAsia="方正书宋_GBK"/>
              </w:rPr>
              <w:t>6．南京市行政区域内发生较大洪水。</w:t>
            </w:r>
          </w:p>
        </w:tc>
        <w:tc>
          <w:tcPr>
            <w:tcW w:w="0" w:type="auto"/>
            <w:tcBorders>
              <w:top w:val="single" w:color="auto" w:sz="4" w:space="0"/>
              <w:left w:val="nil"/>
              <w:bottom w:val="single" w:color="auto" w:sz="4" w:space="0"/>
              <w:right w:val="single" w:color="auto" w:sz="12" w:space="0"/>
            </w:tcBorders>
            <w:noWrap w:val="0"/>
            <w:vAlign w:val="center"/>
          </w:tcPr>
          <w:p>
            <w:pPr>
              <w:widowControl/>
              <w:topLinePunct/>
              <w:snapToGrid w:val="0"/>
              <w:spacing w:line="440" w:lineRule="atLeast"/>
              <w:rPr>
                <w:rFonts w:eastAsia="方正书宋_GBK"/>
              </w:rPr>
            </w:pPr>
            <w:r>
              <w:rPr>
                <w:rFonts w:eastAsia="方正书宋_GBK"/>
              </w:rPr>
              <w:t>1．市</w:t>
            </w:r>
            <w:r>
              <w:rPr>
                <w:rFonts w:hint="eastAsia" w:eastAsia="方正书宋_GBK"/>
              </w:rPr>
              <w:t>交通综合</w:t>
            </w:r>
            <w:r>
              <w:rPr>
                <w:rFonts w:eastAsia="方正书宋_GBK"/>
              </w:rPr>
              <w:t>执法局应急指挥中心收到较大风险信息（Ⅲ级、黄色）后，密切关注风险源动态，立即向各成员单位、港口传达预警信息； </w:t>
            </w:r>
          </w:p>
          <w:p>
            <w:pPr>
              <w:widowControl/>
              <w:topLinePunct/>
              <w:snapToGrid w:val="0"/>
              <w:spacing w:line="440" w:lineRule="atLeast"/>
              <w:rPr>
                <w:rFonts w:eastAsia="方正书宋_GBK"/>
              </w:rPr>
            </w:pPr>
            <w:r>
              <w:rPr>
                <w:rFonts w:eastAsia="方正书宋_GBK"/>
              </w:rPr>
              <w:t>2．每6小时至少向相关港口传达一次预警信息；</w:t>
            </w:r>
          </w:p>
          <w:p>
            <w:pPr>
              <w:widowControl/>
              <w:topLinePunct/>
              <w:snapToGrid w:val="0"/>
              <w:spacing w:line="440" w:lineRule="atLeast"/>
              <w:rPr>
                <w:rFonts w:eastAsia="方正书宋_GBK"/>
              </w:rPr>
            </w:pPr>
            <w:r>
              <w:rPr>
                <w:rFonts w:eastAsia="方正书宋_GBK"/>
              </w:rPr>
              <w:t>3．相关成员单位、各搜救力量进入应急待命状态，保持24小时通讯畅通；</w:t>
            </w:r>
          </w:p>
          <w:p>
            <w:pPr>
              <w:widowControl/>
              <w:topLinePunct/>
              <w:snapToGrid w:val="0"/>
              <w:spacing w:line="440" w:lineRule="atLeast"/>
              <w:rPr>
                <w:rFonts w:eastAsia="方正书宋_GBK"/>
              </w:rPr>
            </w:pPr>
            <w:r>
              <w:rPr>
                <w:rFonts w:eastAsia="方正书宋_GBK"/>
              </w:rPr>
              <w:t>4．调集应急救援所需的物资、设备、工具，准备应急设施和避难场所，并确保其处于良好状态、随时可以投入使用。必要时，集结应急救援力量预先布置到可能事发区域；</w:t>
            </w:r>
          </w:p>
          <w:p>
            <w:pPr>
              <w:widowControl/>
              <w:topLinePunct/>
              <w:snapToGrid w:val="0"/>
              <w:spacing w:line="440" w:lineRule="atLeast"/>
              <w:rPr>
                <w:rFonts w:eastAsia="方正书宋_GBK"/>
              </w:rPr>
            </w:pPr>
            <w:r>
              <w:rPr>
                <w:rFonts w:eastAsia="方正书宋_GBK"/>
              </w:rPr>
              <w:t>5．疏散、转移或者撤离易受突发事件危害的人员并予以妥善安置，转移重要财产；</w:t>
            </w:r>
          </w:p>
          <w:p>
            <w:pPr>
              <w:widowControl/>
              <w:topLinePunct/>
              <w:snapToGrid w:val="0"/>
              <w:spacing w:line="440" w:lineRule="atLeast"/>
              <w:rPr>
                <w:rFonts w:eastAsia="方正书宋_GBK"/>
              </w:rPr>
            </w:pPr>
            <w:r>
              <w:rPr>
                <w:rFonts w:eastAsia="方正书宋_GBK"/>
              </w:rPr>
              <w:t>6．采取必要措施，确保交通、通信、供水、排水、供电、供气、供热等公共设施的安全和正常运行；</w:t>
            </w:r>
          </w:p>
          <w:p>
            <w:pPr>
              <w:widowControl/>
              <w:topLinePunct/>
              <w:snapToGrid w:val="0"/>
              <w:spacing w:line="440" w:lineRule="atLeast"/>
              <w:rPr>
                <w:rFonts w:eastAsia="方正书宋_GBK"/>
              </w:rPr>
            </w:pPr>
            <w:r>
              <w:rPr>
                <w:rFonts w:eastAsia="方正书宋_GBK"/>
              </w:rPr>
              <w:t>7．禁止港口码头装卸作业，加强现场巡查维护。</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12" w:space="0"/>
              <w:bottom w:val="single" w:color="auto" w:sz="12" w:space="0"/>
              <w:right w:val="single" w:color="auto" w:sz="4" w:space="0"/>
            </w:tcBorders>
            <w:shd w:val="clear" w:color="auto" w:fill="auto"/>
            <w:noWrap w:val="0"/>
            <w:vAlign w:val="center"/>
          </w:tcPr>
          <w:p>
            <w:pPr>
              <w:widowControl/>
              <w:topLinePunct/>
              <w:snapToGrid w:val="0"/>
              <w:spacing w:line="440" w:lineRule="atLeast"/>
              <w:rPr>
                <w:rFonts w:eastAsia="方正书宋_GBK"/>
              </w:rPr>
            </w:pPr>
            <w:r>
              <w:rPr>
                <w:rFonts w:eastAsia="方正书宋_GBK"/>
              </w:rPr>
              <w:t>Ⅳ级</w:t>
            </w:r>
          </w:p>
        </w:tc>
        <w:tc>
          <w:tcPr>
            <w:tcW w:w="0" w:type="auto"/>
            <w:tcBorders>
              <w:top w:val="single" w:color="auto" w:sz="4" w:space="0"/>
              <w:left w:val="nil"/>
              <w:bottom w:val="single" w:color="auto" w:sz="12" w:space="0"/>
              <w:right w:val="single" w:color="auto" w:sz="4" w:space="0"/>
            </w:tcBorders>
            <w:shd w:val="clear" w:color="auto" w:fill="auto"/>
            <w:noWrap w:val="0"/>
            <w:vAlign w:val="center"/>
          </w:tcPr>
          <w:p>
            <w:pPr>
              <w:widowControl/>
              <w:topLinePunct/>
              <w:snapToGrid w:val="0"/>
              <w:spacing w:line="440" w:lineRule="atLeast"/>
              <w:rPr>
                <w:rFonts w:eastAsia="方正书宋_GBK"/>
              </w:rPr>
            </w:pPr>
            <w:r>
              <w:rPr>
                <w:rFonts w:eastAsia="方正书宋_GBK"/>
              </w:rPr>
              <w:t>一般</w:t>
            </w:r>
          </w:p>
        </w:tc>
        <w:tc>
          <w:tcPr>
            <w:tcW w:w="797" w:type="dxa"/>
            <w:tcBorders>
              <w:top w:val="single" w:color="auto" w:sz="4" w:space="0"/>
              <w:left w:val="nil"/>
              <w:bottom w:val="single" w:color="auto" w:sz="12" w:space="0"/>
              <w:right w:val="single" w:color="auto" w:sz="4" w:space="0"/>
            </w:tcBorders>
            <w:shd w:val="clear" w:color="auto" w:fill="0000FF"/>
            <w:noWrap w:val="0"/>
            <w:vAlign w:val="center"/>
          </w:tcPr>
          <w:p>
            <w:pPr>
              <w:widowControl/>
              <w:topLinePunct/>
              <w:snapToGrid w:val="0"/>
              <w:spacing w:line="440" w:lineRule="atLeast"/>
              <w:rPr>
                <w:rFonts w:eastAsia="方正书宋_GBK"/>
              </w:rPr>
            </w:pPr>
            <w:r>
              <w:rPr>
                <w:rFonts w:eastAsia="方正书宋_GBK"/>
              </w:rPr>
              <w:t>蓝色</w:t>
            </w:r>
          </w:p>
        </w:tc>
        <w:tc>
          <w:tcPr>
            <w:tcW w:w="3455" w:type="dxa"/>
            <w:tcBorders>
              <w:top w:val="single" w:color="auto" w:sz="4" w:space="0"/>
              <w:left w:val="nil"/>
              <w:bottom w:val="single" w:color="auto" w:sz="12" w:space="0"/>
              <w:right w:val="single" w:color="auto" w:sz="4" w:space="0"/>
            </w:tcBorders>
            <w:noWrap w:val="0"/>
            <w:vAlign w:val="top"/>
          </w:tcPr>
          <w:p>
            <w:pPr>
              <w:widowControl/>
              <w:topLinePunct/>
              <w:snapToGrid w:val="0"/>
              <w:spacing w:line="440" w:lineRule="atLeast"/>
              <w:rPr>
                <w:rFonts w:eastAsia="方正书宋_GBK"/>
              </w:rPr>
            </w:pPr>
            <w:r>
              <w:rPr>
                <w:rFonts w:eastAsia="方正书宋_GBK"/>
              </w:rPr>
              <w:t>1．停靠南京港口码头的危险货物船舶发生火灾、爆炸、导致码头受损，达到Ⅳ级港口突发事件标准的；</w:t>
            </w:r>
          </w:p>
          <w:p>
            <w:pPr>
              <w:widowControl/>
              <w:topLinePunct/>
              <w:snapToGrid w:val="0"/>
              <w:spacing w:line="440" w:lineRule="atLeast"/>
              <w:rPr>
                <w:rFonts w:eastAsia="方正书宋_GBK"/>
              </w:rPr>
            </w:pPr>
            <w:r>
              <w:rPr>
                <w:rFonts w:eastAsia="方正书宋_GBK"/>
              </w:rPr>
              <w:t>2．南京港区危险货物储罐发生火灾、爆炸，影响范围在港口企业范围内，达到Ⅳ级港口突发事件标准的；</w:t>
            </w:r>
          </w:p>
          <w:p>
            <w:pPr>
              <w:widowControl/>
              <w:topLinePunct/>
              <w:snapToGrid w:val="0"/>
              <w:spacing w:line="440" w:lineRule="atLeast"/>
              <w:rPr>
                <w:rFonts w:eastAsia="方正书宋_GBK"/>
              </w:rPr>
            </w:pPr>
            <w:r>
              <w:rPr>
                <w:rFonts w:eastAsia="方正书宋_GBK"/>
              </w:rPr>
              <w:t>3．泄漏导致长江水域、生态破坏，或对南京市经济、社会正常活动有一定影响，或水源污染半径超出港区范围，达到Ⅳ级港口突发事件标准的；</w:t>
            </w:r>
          </w:p>
          <w:p>
            <w:pPr>
              <w:widowControl/>
              <w:topLinePunct/>
              <w:snapToGrid w:val="0"/>
              <w:spacing w:line="440" w:lineRule="atLeast"/>
              <w:rPr>
                <w:rFonts w:eastAsia="方正书宋_GBK"/>
              </w:rPr>
            </w:pPr>
            <w:r>
              <w:rPr>
                <w:rFonts w:eastAsia="方正书宋_GBK"/>
              </w:rPr>
              <w:t>4．国家气象局、国家海洋预报台等发布Ⅳ级台风、大风、洪水、暴雨等自然灾害预警，预计可能威胁南京港口安全运行，对港口生产和人员、设施安全造成影响的；</w:t>
            </w:r>
          </w:p>
          <w:p>
            <w:pPr>
              <w:widowControl/>
              <w:topLinePunct/>
              <w:snapToGrid w:val="0"/>
              <w:spacing w:line="440" w:lineRule="atLeast"/>
              <w:rPr>
                <w:rFonts w:eastAsia="方正书宋_GBK"/>
              </w:rPr>
            </w:pPr>
            <w:r>
              <w:rPr>
                <w:rFonts w:eastAsia="方正书宋_GBK"/>
              </w:rPr>
              <w:t>5．在某区级行政区域内，气象主管机构所属气象台站预测出现灾害性天气气候过程，其强度达到国务院气象主管机构制定的较大灾害性天气气候标准的；</w:t>
            </w:r>
          </w:p>
          <w:p>
            <w:pPr>
              <w:widowControl/>
              <w:topLinePunct/>
              <w:snapToGrid w:val="0"/>
              <w:spacing w:line="440" w:lineRule="atLeast"/>
              <w:rPr>
                <w:rFonts w:eastAsia="方正书宋_GBK"/>
              </w:rPr>
            </w:pPr>
            <w:r>
              <w:rPr>
                <w:rFonts w:eastAsia="方正书宋_GBK"/>
              </w:rPr>
              <w:t>6．南京市下辖多个区行政区域内同时发生一般洪水。</w:t>
            </w:r>
          </w:p>
        </w:tc>
        <w:tc>
          <w:tcPr>
            <w:tcW w:w="0" w:type="auto"/>
            <w:tcBorders>
              <w:top w:val="single" w:color="auto" w:sz="4" w:space="0"/>
              <w:left w:val="nil"/>
              <w:bottom w:val="single" w:color="auto" w:sz="12" w:space="0"/>
              <w:right w:val="single" w:color="auto" w:sz="12" w:space="0"/>
            </w:tcBorders>
            <w:noWrap w:val="0"/>
            <w:vAlign w:val="top"/>
          </w:tcPr>
          <w:p>
            <w:pPr>
              <w:widowControl/>
              <w:topLinePunct/>
              <w:snapToGrid w:val="0"/>
              <w:spacing w:line="440" w:lineRule="atLeast"/>
              <w:rPr>
                <w:rFonts w:eastAsia="方正书宋_GBK"/>
              </w:rPr>
            </w:pPr>
            <w:r>
              <w:rPr>
                <w:rFonts w:eastAsia="方正书宋_GBK"/>
              </w:rPr>
              <w:t>1．市</w:t>
            </w:r>
            <w:r>
              <w:rPr>
                <w:rFonts w:hint="eastAsia" w:eastAsia="方正书宋_GBK"/>
              </w:rPr>
              <w:t>交通综合</w:t>
            </w:r>
            <w:r>
              <w:rPr>
                <w:rFonts w:eastAsia="方正书宋_GBK"/>
              </w:rPr>
              <w:t>执法局应急指挥中心收到一般风险信息（Ⅳ级、蓝色）后，密切关注风险源动态，立即向各成员单位、港口传达预警信息；</w:t>
            </w:r>
          </w:p>
          <w:p>
            <w:pPr>
              <w:widowControl/>
              <w:topLinePunct/>
              <w:snapToGrid w:val="0"/>
              <w:spacing w:line="440" w:lineRule="atLeast"/>
              <w:rPr>
                <w:rFonts w:eastAsia="方正书宋_GBK"/>
              </w:rPr>
            </w:pPr>
            <w:r>
              <w:rPr>
                <w:rFonts w:eastAsia="方正书宋_GBK"/>
              </w:rPr>
              <w:t>2．每12小时至少向相关港口传达一次预警信息；</w:t>
            </w:r>
          </w:p>
          <w:p>
            <w:pPr>
              <w:widowControl/>
              <w:topLinePunct/>
              <w:snapToGrid w:val="0"/>
              <w:spacing w:line="440" w:lineRule="atLeast"/>
              <w:rPr>
                <w:rFonts w:eastAsia="方正书宋_GBK"/>
              </w:rPr>
            </w:pPr>
            <w:r>
              <w:rPr>
                <w:rFonts w:eastAsia="方正书宋_GBK"/>
              </w:rPr>
              <w:t>3．相关成员单位、各搜救力量进入应急待命状态，保持24小时通讯畅通；</w:t>
            </w:r>
          </w:p>
          <w:p>
            <w:pPr>
              <w:widowControl/>
              <w:topLinePunct/>
              <w:snapToGrid w:val="0"/>
              <w:spacing w:line="440" w:lineRule="atLeast"/>
              <w:rPr>
                <w:rFonts w:eastAsia="方正书宋_GBK"/>
              </w:rPr>
            </w:pPr>
            <w:r>
              <w:rPr>
                <w:rFonts w:eastAsia="方正书宋_GBK"/>
              </w:rPr>
              <w:t>4．调集应急救援所需的物资、设备、工具，准备应急设施和避难场所，并确保其处于良好状态、随时可以投入使用。必要时，集结应急救援力量预先布置到可能事发区域；</w:t>
            </w:r>
          </w:p>
          <w:p>
            <w:pPr>
              <w:widowControl/>
              <w:topLinePunct/>
              <w:snapToGrid w:val="0"/>
              <w:spacing w:line="440" w:lineRule="atLeast"/>
              <w:rPr>
                <w:rFonts w:eastAsia="方正书宋_GBK"/>
              </w:rPr>
            </w:pPr>
            <w:r>
              <w:rPr>
                <w:rFonts w:eastAsia="方正书宋_GBK"/>
              </w:rPr>
              <w:t>5．疏散、转移或者撤离易受突发事件危害的人员并予以妥善安置，转移重要财产；</w:t>
            </w:r>
          </w:p>
          <w:p>
            <w:pPr>
              <w:widowControl/>
              <w:topLinePunct/>
              <w:snapToGrid w:val="0"/>
              <w:spacing w:line="440" w:lineRule="atLeast"/>
              <w:rPr>
                <w:rFonts w:eastAsia="方正书宋_GBK"/>
              </w:rPr>
            </w:pPr>
            <w:r>
              <w:rPr>
                <w:rFonts w:eastAsia="方正书宋_GBK"/>
              </w:rPr>
              <w:t>6．采取必要措施，确保交通、通信、供水、排水、供电、供气、供热等公共设施的安全和正常运行；</w:t>
            </w:r>
          </w:p>
          <w:p>
            <w:pPr>
              <w:widowControl/>
              <w:topLinePunct/>
              <w:snapToGrid w:val="0"/>
              <w:spacing w:line="440" w:lineRule="atLeast"/>
              <w:rPr>
                <w:rFonts w:eastAsia="方正书宋_GBK"/>
              </w:rPr>
            </w:pPr>
            <w:r>
              <w:rPr>
                <w:rFonts w:eastAsia="方正书宋_GBK"/>
              </w:rPr>
              <w:t>7．加强港口码头装卸作业的现场巡查维护。</w:t>
            </w:r>
          </w:p>
        </w:tc>
      </w:tr>
    </w:tbl>
    <w:p>
      <w:pPr>
        <w:snapToGrid w:val="0"/>
        <w:spacing w:line="560" w:lineRule="exact"/>
        <w:ind w:firstLine="640" w:firstLineChars="200"/>
        <w:rPr>
          <w:rFonts w:eastAsia="仿宋_GB2312"/>
          <w:sz w:val="32"/>
          <w:szCs w:val="32"/>
        </w:rPr>
      </w:pPr>
      <w:r>
        <w:rPr>
          <w:rFonts w:eastAsia="仿宋_GB2312"/>
          <w:sz w:val="32"/>
          <w:szCs w:val="32"/>
        </w:rPr>
        <w:t>4.2.2 预警发布</w:t>
      </w:r>
    </w:p>
    <w:p>
      <w:pPr>
        <w:snapToGrid w:val="0"/>
        <w:spacing w:line="560" w:lineRule="exact"/>
        <w:ind w:firstLine="640" w:firstLineChars="200"/>
        <w:rPr>
          <w:rFonts w:eastAsia="仿宋_GB2312"/>
          <w:sz w:val="32"/>
          <w:szCs w:val="32"/>
        </w:rPr>
      </w:pPr>
      <w:r>
        <w:rPr>
          <w:rFonts w:eastAsia="仿宋_GB2312"/>
          <w:sz w:val="32"/>
          <w:szCs w:val="32"/>
        </w:rPr>
        <w:t>港口突发事件预防预警信息包括：可能发生的突发事件类型、起始时间、预警级别、可能影响范围、估计影响程度及应对措施、警示事项、群众自防自救措施、发布机关等。</w:t>
      </w:r>
    </w:p>
    <w:p>
      <w:pPr>
        <w:snapToGrid w:val="0"/>
        <w:spacing w:line="560" w:lineRule="exact"/>
        <w:ind w:firstLine="640" w:firstLineChars="200"/>
        <w:rPr>
          <w:rFonts w:eastAsia="仿宋_GB2312"/>
          <w:sz w:val="32"/>
          <w:szCs w:val="32"/>
        </w:rPr>
      </w:pPr>
      <w:r>
        <w:rPr>
          <w:rFonts w:eastAsia="仿宋_GB2312"/>
          <w:sz w:val="32"/>
          <w:szCs w:val="32"/>
        </w:rPr>
        <w:t>预警信息发布应实行严格的审签制。经审签后，按《南京市预警信息发布管理办法》发布。</w:t>
      </w:r>
    </w:p>
    <w:p>
      <w:pPr>
        <w:snapToGrid w:val="0"/>
        <w:spacing w:line="560" w:lineRule="exact"/>
        <w:ind w:firstLine="640" w:firstLineChars="200"/>
        <w:rPr>
          <w:rFonts w:eastAsia="仿宋_GB2312"/>
          <w:sz w:val="32"/>
          <w:szCs w:val="32"/>
        </w:rPr>
      </w:pPr>
      <w:r>
        <w:rPr>
          <w:rFonts w:eastAsia="仿宋_GB2312"/>
          <w:sz w:val="32"/>
          <w:szCs w:val="32"/>
        </w:rPr>
        <w:t>蓝色（Ⅳ级）预警由市交通运输局或事发地的区级政府（园区管委会）负责发布，黄色（Ⅲ级）预警由市政府负责发布，橙色（Ⅱ级）和红色（Ⅰ级）预警由上级政府发布。</w:t>
      </w:r>
    </w:p>
    <w:p>
      <w:pPr>
        <w:snapToGrid w:val="0"/>
        <w:spacing w:line="560" w:lineRule="exact"/>
        <w:ind w:firstLine="640" w:firstLineChars="200"/>
        <w:rPr>
          <w:rFonts w:eastAsia="仿宋_GB2312"/>
          <w:sz w:val="32"/>
          <w:szCs w:val="32"/>
        </w:rPr>
      </w:pPr>
      <w:r>
        <w:rPr>
          <w:rFonts w:eastAsia="仿宋_GB2312"/>
          <w:sz w:val="32"/>
          <w:szCs w:val="32"/>
        </w:rPr>
        <w:t>根据事态发展情况和采取措施的效果，适时提升或降低预警级别。有事实证明不可能发生突发事件或者危险已经解除的，发布预警信息的单位、部门应及时宣布终止预警。</w:t>
      </w:r>
    </w:p>
    <w:p>
      <w:pPr>
        <w:snapToGrid w:val="0"/>
        <w:spacing w:line="560" w:lineRule="exact"/>
        <w:ind w:firstLine="640" w:firstLineChars="200"/>
        <w:rPr>
          <w:rFonts w:eastAsia="仿宋_GB2312"/>
          <w:sz w:val="32"/>
          <w:szCs w:val="32"/>
        </w:rPr>
      </w:pPr>
      <w:r>
        <w:rPr>
          <w:rFonts w:eastAsia="仿宋_GB2312"/>
          <w:sz w:val="32"/>
          <w:szCs w:val="32"/>
        </w:rPr>
        <w:t>4.2.3 预警期措施</w:t>
      </w:r>
    </w:p>
    <w:p>
      <w:pPr>
        <w:snapToGrid w:val="0"/>
        <w:spacing w:line="560" w:lineRule="exact"/>
        <w:ind w:firstLine="640" w:firstLineChars="200"/>
        <w:rPr>
          <w:rFonts w:eastAsia="仿宋_GB2312"/>
          <w:sz w:val="32"/>
          <w:szCs w:val="32"/>
        </w:rPr>
      </w:pPr>
      <w:r>
        <w:rPr>
          <w:rFonts w:eastAsia="仿宋_GB2312"/>
          <w:sz w:val="32"/>
          <w:szCs w:val="32"/>
        </w:rPr>
        <w:t>预警级别信息发布后，应急指挥部应当对预警事件及事件可能发生地采取以下措施，并做好相关信息跟踪监测。</w:t>
      </w:r>
    </w:p>
    <w:p>
      <w:pPr>
        <w:snapToGrid w:val="0"/>
        <w:spacing w:line="560" w:lineRule="exact"/>
        <w:ind w:firstLine="640" w:firstLineChars="200"/>
        <w:rPr>
          <w:rFonts w:eastAsia="仿宋_GB2312"/>
          <w:sz w:val="32"/>
          <w:szCs w:val="32"/>
        </w:rPr>
      </w:pPr>
      <w:r>
        <w:rPr>
          <w:rFonts w:eastAsia="仿宋_GB2312"/>
          <w:sz w:val="32"/>
          <w:szCs w:val="32"/>
        </w:rPr>
        <w:t>（1）及时向公众发布可能受到港口突发事件危害的警告或者劝告，宣传应急和防止、减轻危害的常识；</w:t>
      </w:r>
    </w:p>
    <w:p>
      <w:pPr>
        <w:snapToGrid w:val="0"/>
        <w:spacing w:line="560" w:lineRule="exact"/>
        <w:ind w:firstLine="640" w:firstLineChars="200"/>
        <w:rPr>
          <w:rFonts w:eastAsia="仿宋_GB2312"/>
          <w:sz w:val="32"/>
          <w:szCs w:val="32"/>
        </w:rPr>
      </w:pPr>
      <w:r>
        <w:rPr>
          <w:rFonts w:eastAsia="仿宋_GB2312"/>
          <w:sz w:val="32"/>
          <w:szCs w:val="32"/>
        </w:rPr>
        <w:t>（2）转移、撤离或者疏散容易受到港口突发事件危害的人员和重要财产，并进行妥善安置；</w:t>
      </w:r>
    </w:p>
    <w:p>
      <w:pPr>
        <w:snapToGrid w:val="0"/>
        <w:spacing w:line="560" w:lineRule="exact"/>
        <w:ind w:firstLine="640" w:firstLineChars="200"/>
        <w:rPr>
          <w:rFonts w:eastAsia="仿宋_GB2312"/>
          <w:sz w:val="32"/>
          <w:szCs w:val="32"/>
        </w:rPr>
      </w:pPr>
      <w:r>
        <w:rPr>
          <w:rFonts w:eastAsia="仿宋_GB2312"/>
          <w:sz w:val="32"/>
          <w:szCs w:val="32"/>
        </w:rPr>
        <w:t>（3）要求处置港口突发事件的队伍和人员进入待命状态，并按需要动员、招募后备人员；</w:t>
      </w:r>
    </w:p>
    <w:p>
      <w:pPr>
        <w:snapToGrid w:val="0"/>
        <w:spacing w:line="560" w:lineRule="exact"/>
        <w:ind w:firstLine="640" w:firstLineChars="200"/>
        <w:rPr>
          <w:rFonts w:eastAsia="仿宋_GB2312"/>
          <w:sz w:val="32"/>
          <w:szCs w:val="32"/>
        </w:rPr>
      </w:pPr>
      <w:r>
        <w:rPr>
          <w:rFonts w:eastAsia="仿宋_GB2312"/>
          <w:sz w:val="32"/>
          <w:szCs w:val="32"/>
        </w:rPr>
        <w:t>（4）确保通讯、交通、供水、供电、供气等公共设施正常；</w:t>
      </w:r>
    </w:p>
    <w:p>
      <w:pPr>
        <w:snapToGrid w:val="0"/>
        <w:spacing w:line="560" w:lineRule="exact"/>
        <w:ind w:firstLine="640" w:firstLineChars="200"/>
        <w:rPr>
          <w:rFonts w:eastAsia="仿宋_GB2312"/>
          <w:sz w:val="32"/>
          <w:szCs w:val="32"/>
        </w:rPr>
      </w:pPr>
      <w:r>
        <w:rPr>
          <w:rFonts w:eastAsia="仿宋_GB2312"/>
          <w:sz w:val="32"/>
          <w:szCs w:val="32"/>
        </w:rPr>
        <w:t>（5）调集所需物资和设备；</w:t>
      </w:r>
    </w:p>
    <w:p>
      <w:pPr>
        <w:snapToGrid w:val="0"/>
        <w:spacing w:line="560" w:lineRule="exact"/>
        <w:ind w:firstLine="640" w:firstLineChars="200"/>
        <w:rPr>
          <w:rFonts w:eastAsia="仿宋_GB2312"/>
          <w:sz w:val="32"/>
          <w:szCs w:val="32"/>
        </w:rPr>
      </w:pPr>
      <w:r>
        <w:rPr>
          <w:rFonts w:eastAsia="仿宋_GB2312"/>
          <w:sz w:val="32"/>
          <w:szCs w:val="32"/>
        </w:rPr>
        <w:t>（6）法律、行政法规规定的其他措施。</w:t>
      </w:r>
    </w:p>
    <w:p>
      <w:pPr>
        <w:pStyle w:val="2"/>
        <w:snapToGrid w:val="0"/>
        <w:spacing w:line="560" w:lineRule="atLeast"/>
        <w:ind w:firstLine="640" w:firstLineChars="200"/>
        <w:rPr>
          <w:b w:val="0"/>
          <w:bCs w:val="0"/>
          <w:szCs w:val="32"/>
        </w:rPr>
      </w:pPr>
      <w:bookmarkStart w:id="29" w:name="_Toc121478028"/>
      <w:bookmarkStart w:id="30" w:name="_Toc121836016"/>
      <w:bookmarkStart w:id="31" w:name="_Toc121836102"/>
      <w:r>
        <w:rPr>
          <w:b w:val="0"/>
          <w:bCs w:val="0"/>
          <w:szCs w:val="32"/>
        </w:rPr>
        <w:t>5 应急响应</w:t>
      </w:r>
      <w:bookmarkEnd w:id="29"/>
      <w:bookmarkEnd w:id="30"/>
      <w:bookmarkEnd w:id="31"/>
    </w:p>
    <w:p>
      <w:pPr>
        <w:pStyle w:val="3"/>
        <w:snapToGrid w:val="0"/>
        <w:spacing w:line="560" w:lineRule="atLeast"/>
        <w:ind w:firstLine="640"/>
        <w:rPr>
          <w:rFonts w:eastAsia="楷体"/>
          <w:b w:val="0"/>
          <w:bCs w:val="0"/>
          <w:sz w:val="32"/>
        </w:rPr>
      </w:pPr>
      <w:bookmarkStart w:id="32" w:name="_Toc121478029"/>
      <w:r>
        <w:rPr>
          <w:rFonts w:eastAsia="楷体"/>
          <w:b w:val="0"/>
          <w:bCs w:val="0"/>
          <w:sz w:val="32"/>
        </w:rPr>
        <w:t>5.1信息报告</w:t>
      </w:r>
      <w:bookmarkEnd w:id="32"/>
    </w:p>
    <w:p>
      <w:pPr>
        <w:snapToGrid w:val="0"/>
        <w:spacing w:line="560" w:lineRule="exact"/>
        <w:ind w:firstLine="640" w:firstLineChars="200"/>
        <w:rPr>
          <w:rFonts w:eastAsia="仿宋_GB2312"/>
          <w:sz w:val="32"/>
          <w:szCs w:val="32"/>
        </w:rPr>
      </w:pPr>
      <w:r>
        <w:rPr>
          <w:rFonts w:eastAsia="仿宋_GB2312"/>
          <w:sz w:val="32"/>
          <w:szCs w:val="32"/>
        </w:rPr>
        <w:t>（1）报告流程：</w:t>
      </w:r>
    </w:p>
    <w:p>
      <w:pPr>
        <w:snapToGrid w:val="0"/>
        <w:spacing w:line="560" w:lineRule="exact"/>
        <w:ind w:firstLine="640" w:firstLineChars="200"/>
        <w:rPr>
          <w:rFonts w:eastAsia="仿宋_GB2312"/>
          <w:sz w:val="32"/>
          <w:szCs w:val="32"/>
        </w:rPr>
      </w:pPr>
      <w:r>
        <w:rPr>
          <w:rFonts w:eastAsia="仿宋_GB2312"/>
          <w:sz w:val="32"/>
          <w:szCs w:val="32"/>
        </w:rPr>
        <w:t>1）发生突发事故后，现场有关人员应当立即向本单位负责人报告，同时根据情况拨打110、119、120等联动机构的电话请求支援。</w:t>
      </w:r>
    </w:p>
    <w:p>
      <w:pPr>
        <w:snapToGrid w:val="0"/>
        <w:spacing w:line="560" w:lineRule="exact"/>
        <w:ind w:firstLine="640" w:firstLineChars="200"/>
        <w:rPr>
          <w:rFonts w:eastAsia="仿宋_GB2312"/>
          <w:sz w:val="32"/>
          <w:szCs w:val="32"/>
        </w:rPr>
      </w:pPr>
      <w:r>
        <w:rPr>
          <w:rFonts w:eastAsia="仿宋_GB2312"/>
          <w:sz w:val="32"/>
          <w:szCs w:val="32"/>
        </w:rPr>
        <w:t>2）当Ⅳ级及以上港口危险货物突发事故发生时，事故单位负责人接到报告后，应于1小时内向交通运输部门和应急部门报告，紧急情况下可先电话口头报告后书面报告。交通运输部门、应急部门也应按要求在规定的时限内报市政府、省交通运输厅等上级单位。情况紧急时，可越级上报。</w:t>
      </w:r>
    </w:p>
    <w:p>
      <w:pPr>
        <w:snapToGrid w:val="0"/>
        <w:spacing w:line="560" w:lineRule="exact"/>
        <w:ind w:firstLine="640" w:firstLineChars="200"/>
        <w:rPr>
          <w:rFonts w:eastAsia="仿宋_GB2312"/>
          <w:sz w:val="32"/>
          <w:szCs w:val="32"/>
        </w:rPr>
      </w:pPr>
      <w:r>
        <w:rPr>
          <w:rFonts w:eastAsia="仿宋_GB2312"/>
          <w:sz w:val="32"/>
          <w:szCs w:val="32"/>
        </w:rPr>
        <w:t>3）应急处置过程中，各港口经营单位、监测机构及有关部门应随时跟踪了解事态控制情况及最新进展，及时进行信息续报。</w:t>
      </w:r>
    </w:p>
    <w:p>
      <w:pPr>
        <w:snapToGrid w:val="0"/>
        <w:spacing w:line="560" w:lineRule="exact"/>
        <w:ind w:firstLine="640" w:firstLineChars="200"/>
        <w:rPr>
          <w:rFonts w:eastAsia="仿宋_GB2312"/>
          <w:sz w:val="32"/>
          <w:szCs w:val="32"/>
        </w:rPr>
      </w:pPr>
      <w:r>
        <w:rPr>
          <w:rFonts w:eastAsia="仿宋_GB2312"/>
          <w:sz w:val="32"/>
          <w:szCs w:val="32"/>
        </w:rPr>
        <w:t>4）考虑到港口危险货物突发事故的影响范围及可能衍生出的其他突发事故类型，在此过程中还应考虑将事故情况同时报市政府相关部门。</w:t>
      </w:r>
    </w:p>
    <w:p>
      <w:pPr>
        <w:snapToGrid w:val="0"/>
        <w:spacing w:line="560" w:lineRule="exact"/>
        <w:ind w:firstLine="640" w:firstLineChars="200"/>
        <w:rPr>
          <w:rFonts w:eastAsia="仿宋_GB2312"/>
          <w:sz w:val="32"/>
          <w:szCs w:val="32"/>
        </w:rPr>
      </w:pPr>
      <w:r>
        <w:rPr>
          <w:rFonts w:hint="eastAsia" w:eastAsia="仿宋_GB2312"/>
          <w:sz w:val="32"/>
          <w:szCs w:val="32"/>
        </w:rPr>
        <w:t>①</w:t>
      </w:r>
      <w:r>
        <w:rPr>
          <w:rFonts w:eastAsia="仿宋_GB2312"/>
          <w:sz w:val="32"/>
          <w:szCs w:val="32"/>
        </w:rPr>
        <w:t>涉及到人为破坏的应同时报公安部门；</w:t>
      </w:r>
    </w:p>
    <w:p>
      <w:pPr>
        <w:snapToGrid w:val="0"/>
        <w:spacing w:line="560" w:lineRule="exact"/>
        <w:ind w:firstLine="640" w:firstLineChars="200"/>
        <w:rPr>
          <w:rFonts w:eastAsia="仿宋_GB2312"/>
          <w:sz w:val="32"/>
          <w:szCs w:val="32"/>
        </w:rPr>
      </w:pPr>
      <w:r>
        <w:rPr>
          <w:rFonts w:hint="eastAsia" w:eastAsia="仿宋_GB2312"/>
          <w:sz w:val="32"/>
          <w:szCs w:val="32"/>
        </w:rPr>
        <w:t>②</w:t>
      </w:r>
      <w:r>
        <w:rPr>
          <w:rFonts w:eastAsia="仿宋_GB2312"/>
          <w:sz w:val="32"/>
          <w:szCs w:val="32"/>
        </w:rPr>
        <w:t>涉及到船舶事故的或影响附近水域通航的应同时报海事、引航机构和市水上搜救中心；</w:t>
      </w:r>
    </w:p>
    <w:p>
      <w:pPr>
        <w:snapToGrid w:val="0"/>
        <w:spacing w:line="560" w:lineRule="exact"/>
        <w:ind w:firstLine="640" w:firstLineChars="200"/>
        <w:rPr>
          <w:rFonts w:eastAsia="仿宋_GB2312"/>
          <w:sz w:val="32"/>
          <w:szCs w:val="32"/>
        </w:rPr>
      </w:pPr>
      <w:r>
        <w:rPr>
          <w:rFonts w:hint="eastAsia" w:eastAsia="仿宋_GB2312"/>
          <w:sz w:val="32"/>
          <w:szCs w:val="32"/>
        </w:rPr>
        <w:t>③</w:t>
      </w:r>
      <w:r>
        <w:rPr>
          <w:rFonts w:eastAsia="仿宋_GB2312"/>
          <w:sz w:val="32"/>
          <w:szCs w:val="32"/>
        </w:rPr>
        <w:t>可能造成环境污染的应同时报生态环境部门；</w:t>
      </w:r>
    </w:p>
    <w:p>
      <w:pPr>
        <w:snapToGrid w:val="0"/>
        <w:spacing w:line="560" w:lineRule="exact"/>
        <w:ind w:firstLine="640" w:firstLineChars="200"/>
        <w:rPr>
          <w:rFonts w:eastAsia="仿宋_GB2312"/>
          <w:sz w:val="32"/>
          <w:szCs w:val="32"/>
        </w:rPr>
      </w:pPr>
      <w:r>
        <w:rPr>
          <w:rFonts w:hint="eastAsia" w:eastAsia="仿宋_GB2312"/>
          <w:sz w:val="32"/>
          <w:szCs w:val="32"/>
        </w:rPr>
        <w:t>④</w:t>
      </w:r>
      <w:r>
        <w:rPr>
          <w:rFonts w:eastAsia="仿宋_GB2312"/>
          <w:sz w:val="32"/>
          <w:szCs w:val="32"/>
        </w:rPr>
        <w:t>涉及到特种设备事故的应同时报市场监管部门。</w:t>
      </w:r>
    </w:p>
    <w:p>
      <w:pPr>
        <w:snapToGrid w:val="0"/>
        <w:spacing w:line="560" w:lineRule="exact"/>
        <w:ind w:firstLine="640" w:firstLineChars="200"/>
        <w:rPr>
          <w:rFonts w:eastAsia="仿宋_GB2312"/>
          <w:sz w:val="32"/>
          <w:szCs w:val="32"/>
        </w:rPr>
      </w:pPr>
      <w:r>
        <w:rPr>
          <w:rFonts w:eastAsia="仿宋_GB2312"/>
          <w:sz w:val="32"/>
          <w:szCs w:val="32"/>
        </w:rPr>
        <w:t>（2）信息报告内容：</w:t>
      </w:r>
    </w:p>
    <w:p>
      <w:pPr>
        <w:snapToGrid w:val="0"/>
        <w:spacing w:line="560" w:lineRule="exact"/>
        <w:ind w:firstLine="640" w:firstLineChars="200"/>
        <w:rPr>
          <w:rFonts w:eastAsia="仿宋_GB2312"/>
          <w:sz w:val="32"/>
          <w:szCs w:val="32"/>
        </w:rPr>
      </w:pPr>
      <w:r>
        <w:rPr>
          <w:rFonts w:eastAsia="仿宋_GB2312"/>
          <w:sz w:val="32"/>
          <w:szCs w:val="32"/>
        </w:rPr>
        <w:t>港口突发事件信息报告的内容要坚持实事求是、注重实效、内容完整、文字精炼的原则，主要包括：事件发生单位概况；事件发生的时间、地点以及事件现场情况；事件的简要经过；事件已经造成或者可能造成的伤亡人数（包括下落不明的人数）或其他后果情况；事件影响范围和发展趋势；抢险救援的组织和已采取的应急处置情况等。</w:t>
      </w:r>
    </w:p>
    <w:p>
      <w:pPr>
        <w:pStyle w:val="3"/>
        <w:snapToGrid w:val="0"/>
        <w:spacing w:line="560" w:lineRule="atLeast"/>
        <w:ind w:firstLine="640"/>
        <w:rPr>
          <w:rFonts w:eastAsia="楷体"/>
          <w:b w:val="0"/>
          <w:bCs w:val="0"/>
          <w:sz w:val="32"/>
        </w:rPr>
      </w:pPr>
      <w:bookmarkStart w:id="33" w:name="_Toc121478030"/>
      <w:r>
        <w:rPr>
          <w:rFonts w:eastAsia="楷体"/>
          <w:b w:val="0"/>
          <w:bCs w:val="0"/>
          <w:sz w:val="32"/>
        </w:rPr>
        <w:t>5.2分级响应</w:t>
      </w:r>
      <w:bookmarkEnd w:id="33"/>
    </w:p>
    <w:p>
      <w:pPr>
        <w:snapToGrid w:val="0"/>
        <w:spacing w:line="560" w:lineRule="exact"/>
        <w:ind w:firstLine="640" w:firstLineChars="200"/>
        <w:rPr>
          <w:rFonts w:eastAsia="仿宋_GB2312"/>
          <w:sz w:val="32"/>
          <w:szCs w:val="32"/>
        </w:rPr>
      </w:pPr>
      <w:r>
        <w:rPr>
          <w:rFonts w:eastAsia="仿宋_GB2312"/>
          <w:sz w:val="32"/>
          <w:szCs w:val="32"/>
        </w:rPr>
        <w:t>按照突发事件分级，将响应级别分为4级：特别重大（Ⅰ级）、重大（Ⅱ级）、较大（Ⅲ级）、一般（Ⅳ级）突发事件。</w:t>
      </w:r>
    </w:p>
    <w:p>
      <w:pPr>
        <w:snapToGrid w:val="0"/>
        <w:spacing w:line="560" w:lineRule="exact"/>
        <w:ind w:firstLine="640" w:firstLineChars="200"/>
        <w:rPr>
          <w:rFonts w:eastAsia="仿宋_GB2312"/>
          <w:sz w:val="32"/>
          <w:szCs w:val="32"/>
        </w:rPr>
      </w:pPr>
      <w:r>
        <w:rPr>
          <w:rFonts w:eastAsia="仿宋_GB2312"/>
          <w:sz w:val="32"/>
          <w:szCs w:val="32"/>
        </w:rPr>
        <w:t>Ⅳ级突发事件由市交通运输部门或事发地区政府负责发布和响应；Ⅲ级突发事件由市政府或其授权的相关部门发布和响应；Ⅱ级突发事件由省政府或其授权的相关部门发布和响应；Ⅰ级突发事件由国务院或国务院授权的相关部门和单位发布和响应。</w:t>
      </w:r>
    </w:p>
    <w:p>
      <w:pPr>
        <w:pStyle w:val="3"/>
        <w:snapToGrid w:val="0"/>
        <w:spacing w:line="560" w:lineRule="atLeast"/>
        <w:ind w:firstLine="640"/>
        <w:rPr>
          <w:rFonts w:eastAsia="楷体"/>
          <w:b w:val="0"/>
          <w:bCs w:val="0"/>
          <w:sz w:val="32"/>
        </w:rPr>
      </w:pPr>
      <w:bookmarkStart w:id="34" w:name="_Toc121478031"/>
      <w:r>
        <w:rPr>
          <w:rFonts w:eastAsia="楷体"/>
          <w:b w:val="0"/>
          <w:bCs w:val="0"/>
          <w:sz w:val="32"/>
        </w:rPr>
        <w:t>5.3先期处置</w:t>
      </w:r>
      <w:bookmarkEnd w:id="34"/>
    </w:p>
    <w:p>
      <w:pPr>
        <w:snapToGrid w:val="0"/>
        <w:spacing w:line="560" w:lineRule="exact"/>
        <w:ind w:firstLine="640" w:firstLineChars="200"/>
        <w:rPr>
          <w:rFonts w:eastAsia="仿宋_GB2312"/>
          <w:sz w:val="32"/>
          <w:szCs w:val="32"/>
        </w:rPr>
      </w:pPr>
      <w:r>
        <w:rPr>
          <w:rFonts w:eastAsia="仿宋_GB2312"/>
          <w:sz w:val="32"/>
          <w:szCs w:val="32"/>
        </w:rPr>
        <w:t>港口突发事件发生后，港口经营单位应迅速按本企业港口突发事件应急预案先行开展应急处置，紧急动用附近应急人员、车辆、应急设备等应急资源进行应急响应，尽最大可能控制事态发展；利用手机、企业广播等既有发布方式发布危险或避险警告；实施现场人员紧急疏散，组织群众开展自救和互救；持续动态监测、核实信息并及时向有关部门报告。</w:t>
      </w:r>
    </w:p>
    <w:p>
      <w:pPr>
        <w:pStyle w:val="3"/>
        <w:snapToGrid w:val="0"/>
        <w:spacing w:line="560" w:lineRule="atLeast"/>
        <w:ind w:firstLine="640"/>
        <w:rPr>
          <w:rFonts w:eastAsia="楷体"/>
          <w:b w:val="0"/>
          <w:bCs w:val="0"/>
          <w:sz w:val="32"/>
        </w:rPr>
      </w:pPr>
      <w:bookmarkStart w:id="35" w:name="_Toc121478032"/>
      <w:r>
        <w:rPr>
          <w:rFonts w:eastAsia="楷体"/>
          <w:b w:val="0"/>
          <w:bCs w:val="0"/>
          <w:sz w:val="32"/>
        </w:rPr>
        <w:t>5.4预案启动及响应程序</w:t>
      </w:r>
      <w:bookmarkEnd w:id="35"/>
    </w:p>
    <w:p>
      <w:pPr>
        <w:snapToGrid w:val="0"/>
        <w:spacing w:line="560" w:lineRule="exact"/>
        <w:ind w:firstLine="640" w:firstLineChars="200"/>
        <w:rPr>
          <w:rFonts w:eastAsia="仿宋_GB2312"/>
          <w:sz w:val="32"/>
          <w:szCs w:val="32"/>
        </w:rPr>
      </w:pPr>
      <w:r>
        <w:rPr>
          <w:rFonts w:eastAsia="仿宋_GB2312"/>
          <w:sz w:val="32"/>
          <w:szCs w:val="32"/>
        </w:rPr>
        <w:t>市</w:t>
      </w:r>
      <w:r>
        <w:rPr>
          <w:rFonts w:hint="eastAsia" w:eastAsia="仿宋_GB2312"/>
          <w:sz w:val="32"/>
          <w:szCs w:val="32"/>
        </w:rPr>
        <w:t>交通综合</w:t>
      </w:r>
      <w:r>
        <w:rPr>
          <w:rFonts w:eastAsia="仿宋_GB2312"/>
          <w:sz w:val="32"/>
          <w:szCs w:val="32"/>
        </w:rPr>
        <w:t>执法局应急指挥中心接到信息报告后，初步判断，对达到Ⅳ级及以上的港口突发事件及时报请应急指挥部启动应急预案，具体流程如下，信息报送流程图见附件5。</w:t>
      </w:r>
    </w:p>
    <w:p>
      <w:pPr>
        <w:snapToGrid w:val="0"/>
        <w:spacing w:line="560" w:lineRule="exact"/>
        <w:ind w:firstLine="640" w:firstLineChars="200"/>
        <w:rPr>
          <w:rFonts w:eastAsia="仿宋_GB2312"/>
          <w:sz w:val="32"/>
          <w:szCs w:val="32"/>
        </w:rPr>
      </w:pPr>
      <w:r>
        <w:rPr>
          <w:rFonts w:eastAsia="仿宋_GB2312"/>
          <w:sz w:val="32"/>
          <w:szCs w:val="32"/>
        </w:rPr>
        <w:t>（1）接警后，市交通综合执法局</w:t>
      </w:r>
      <w:r>
        <w:rPr>
          <w:rFonts w:hint="eastAsia" w:eastAsia="仿宋_GB2312"/>
          <w:sz w:val="32"/>
          <w:szCs w:val="32"/>
        </w:rPr>
        <w:t>应急指挥中心</w:t>
      </w:r>
      <w:r>
        <w:rPr>
          <w:rFonts w:eastAsia="仿宋_GB2312"/>
          <w:sz w:val="32"/>
          <w:szCs w:val="32"/>
        </w:rPr>
        <w:t>分管负责人立即报告市交通运输局主要领导（分管领导）和南京交通运输综合应急指挥中心，并立即赴市执法局应急指挥中心协调指导现场应急救援工作，安排属地执法单元前往事发现场核实情况，指导企业现场救援工作。</w:t>
      </w:r>
    </w:p>
    <w:p>
      <w:pPr>
        <w:snapToGrid w:val="0"/>
        <w:spacing w:line="560" w:lineRule="exact"/>
        <w:ind w:firstLine="640" w:firstLineChars="200"/>
        <w:rPr>
          <w:rFonts w:eastAsia="仿宋_GB2312"/>
          <w:sz w:val="32"/>
          <w:szCs w:val="32"/>
        </w:rPr>
      </w:pPr>
      <w:r>
        <w:rPr>
          <w:rFonts w:eastAsia="仿宋_GB2312"/>
          <w:sz w:val="32"/>
          <w:szCs w:val="32"/>
        </w:rPr>
        <w:t>（2）属地执法单元根据现场实际情况，核实事故的性质（泄漏、火灾、爆炸、中毒等）、危险货物状态和泄漏量、持续泄漏/火灾爆炸的可能性、事故对周围人员是否构成危险、事故对周围设备设施的影响范围、泄漏物是否会污染港口水域等信息，及时报市</w:t>
      </w:r>
      <w:r>
        <w:rPr>
          <w:rFonts w:hint="eastAsia" w:eastAsia="仿宋_GB2312"/>
          <w:sz w:val="32"/>
          <w:szCs w:val="32"/>
        </w:rPr>
        <w:t>交通综合</w:t>
      </w:r>
      <w:r>
        <w:rPr>
          <w:rFonts w:eastAsia="仿宋_GB2312"/>
          <w:sz w:val="32"/>
          <w:szCs w:val="32"/>
        </w:rPr>
        <w:t>执法局应急指挥中心和南京交通运输综合应急指挥中心。</w:t>
      </w:r>
    </w:p>
    <w:p>
      <w:pPr>
        <w:snapToGrid w:val="0"/>
        <w:spacing w:line="560" w:lineRule="exact"/>
        <w:ind w:firstLine="640" w:firstLineChars="200"/>
        <w:rPr>
          <w:rFonts w:eastAsia="仿宋_GB2312"/>
          <w:sz w:val="32"/>
          <w:szCs w:val="32"/>
        </w:rPr>
      </w:pPr>
      <w:r>
        <w:rPr>
          <w:rFonts w:eastAsia="仿宋_GB2312"/>
          <w:sz w:val="32"/>
          <w:szCs w:val="32"/>
        </w:rPr>
        <w:t>（3）接报后，应急指挥部实质化运作，通过信息研判，确定应急响应级别，对Ⅳ级港口突发事件及时启动应急预案开展应急响应，联系南京市沿江港口应急物资公共储备库，组织相关人员开展救援工作。对Ⅲ级及以上港口突发事件及时上报市政府、省交通运输厅等上级部门，必要时可越级上报，配合开展应急响应工作。</w:t>
      </w:r>
    </w:p>
    <w:p>
      <w:pPr>
        <w:pStyle w:val="3"/>
        <w:snapToGrid w:val="0"/>
        <w:spacing w:line="560" w:lineRule="atLeast"/>
        <w:ind w:firstLine="640"/>
        <w:rPr>
          <w:rFonts w:eastAsia="楷体"/>
          <w:b w:val="0"/>
          <w:bCs w:val="0"/>
          <w:sz w:val="32"/>
        </w:rPr>
      </w:pPr>
      <w:bookmarkStart w:id="36" w:name="_Toc121478033"/>
      <w:r>
        <w:rPr>
          <w:rFonts w:eastAsia="楷体"/>
          <w:b w:val="0"/>
          <w:bCs w:val="0"/>
          <w:sz w:val="32"/>
        </w:rPr>
        <w:t>5.5协调指挥</w:t>
      </w:r>
      <w:bookmarkEnd w:id="36"/>
    </w:p>
    <w:p>
      <w:pPr>
        <w:snapToGrid w:val="0"/>
        <w:spacing w:line="560" w:lineRule="exact"/>
        <w:ind w:firstLine="640" w:firstLineChars="200"/>
        <w:rPr>
          <w:rFonts w:eastAsia="仿宋_GB2312"/>
          <w:sz w:val="32"/>
          <w:szCs w:val="32"/>
        </w:rPr>
      </w:pPr>
      <w:r>
        <w:rPr>
          <w:rFonts w:eastAsia="仿宋_GB2312"/>
          <w:sz w:val="32"/>
          <w:szCs w:val="32"/>
        </w:rPr>
        <w:t>（1）Ⅳ级港口突发事件</w:t>
      </w:r>
    </w:p>
    <w:p>
      <w:pPr>
        <w:snapToGrid w:val="0"/>
        <w:spacing w:line="560" w:lineRule="exact"/>
        <w:ind w:firstLine="640" w:firstLineChars="200"/>
        <w:rPr>
          <w:rFonts w:eastAsia="仿宋_GB2312"/>
          <w:sz w:val="32"/>
          <w:szCs w:val="32"/>
        </w:rPr>
      </w:pPr>
      <w:r>
        <w:rPr>
          <w:rFonts w:eastAsia="仿宋_GB2312"/>
          <w:sz w:val="32"/>
          <w:szCs w:val="32"/>
        </w:rPr>
        <w:t>对于Ⅳ级港口突发事件，应急工作指挥机构为市交通运输局应急指挥部，组织协调单位为市交通运输综合行政执法监督局。</w:t>
      </w:r>
    </w:p>
    <w:p>
      <w:pPr>
        <w:snapToGrid w:val="0"/>
        <w:spacing w:line="560" w:lineRule="exact"/>
        <w:ind w:firstLine="640" w:firstLineChars="200"/>
        <w:rPr>
          <w:rFonts w:eastAsia="仿宋_GB2312"/>
          <w:sz w:val="32"/>
          <w:szCs w:val="32"/>
        </w:rPr>
      </w:pPr>
      <w:r>
        <w:rPr>
          <w:rFonts w:eastAsia="仿宋_GB2312"/>
          <w:sz w:val="32"/>
          <w:szCs w:val="32"/>
        </w:rPr>
        <w:t>市交通运输综合行政执法监督局执法（应急）指挥中心接警后，立即通知市交通运输综合行政执法监督局成员单位，根据各自职责，在市交通运输综合行政执法监督局领导下成立现场应急工作组，开展救援工作，全力控制事态发展。</w:t>
      </w:r>
    </w:p>
    <w:p>
      <w:pPr>
        <w:snapToGrid w:val="0"/>
        <w:spacing w:line="560" w:lineRule="exact"/>
        <w:ind w:firstLine="640" w:firstLineChars="200"/>
        <w:rPr>
          <w:rFonts w:eastAsia="仿宋_GB2312"/>
          <w:sz w:val="32"/>
          <w:szCs w:val="32"/>
        </w:rPr>
      </w:pPr>
      <w:r>
        <w:rPr>
          <w:rFonts w:eastAsia="仿宋_GB2312"/>
          <w:sz w:val="32"/>
          <w:szCs w:val="32"/>
        </w:rPr>
        <w:t>当发生人员死亡时，市交通运输局主要领导（分管领导）赶赴现场，协助应急救援工作。</w:t>
      </w:r>
    </w:p>
    <w:p>
      <w:pPr>
        <w:snapToGrid w:val="0"/>
        <w:spacing w:line="560" w:lineRule="exact"/>
        <w:ind w:firstLine="640" w:firstLineChars="200"/>
        <w:rPr>
          <w:rFonts w:eastAsia="仿宋_GB2312"/>
          <w:sz w:val="32"/>
          <w:szCs w:val="32"/>
        </w:rPr>
      </w:pPr>
      <w:r>
        <w:rPr>
          <w:rFonts w:eastAsia="仿宋_GB2312"/>
          <w:sz w:val="32"/>
          <w:szCs w:val="32"/>
        </w:rPr>
        <w:t>（2）Ⅲ级港口突发事件</w:t>
      </w:r>
    </w:p>
    <w:p>
      <w:pPr>
        <w:snapToGrid w:val="0"/>
        <w:spacing w:line="560" w:lineRule="exact"/>
        <w:ind w:firstLine="640" w:firstLineChars="200"/>
        <w:rPr>
          <w:rFonts w:eastAsia="仿宋_GB2312"/>
          <w:sz w:val="32"/>
          <w:szCs w:val="32"/>
        </w:rPr>
      </w:pPr>
      <w:r>
        <w:rPr>
          <w:rFonts w:eastAsia="仿宋_GB2312"/>
          <w:sz w:val="32"/>
          <w:szCs w:val="32"/>
        </w:rPr>
        <w:t>对于Ⅲ级港口突发事件，应急工作指挥机构为市政府应急指挥部，组织协调单位为市交通运输局。</w:t>
      </w:r>
    </w:p>
    <w:p>
      <w:pPr>
        <w:snapToGrid w:val="0"/>
        <w:spacing w:line="560" w:lineRule="exact"/>
        <w:ind w:firstLine="640" w:firstLineChars="200"/>
        <w:rPr>
          <w:rFonts w:eastAsia="仿宋_GB2312"/>
          <w:sz w:val="32"/>
          <w:szCs w:val="32"/>
        </w:rPr>
      </w:pPr>
      <w:r>
        <w:rPr>
          <w:rFonts w:eastAsia="仿宋_GB2312"/>
          <w:sz w:val="32"/>
          <w:szCs w:val="32"/>
        </w:rPr>
        <w:t>南京交通运输综合应急指挥中心接警后，立即通知市交通运输局成员单位，根据各自职责，在市交通运输局领导下成立现场应急工作组，配合开展救援工作，全力控制事态发展。</w:t>
      </w:r>
    </w:p>
    <w:p>
      <w:pPr>
        <w:snapToGrid w:val="0"/>
        <w:spacing w:line="560" w:lineRule="exact"/>
        <w:ind w:firstLine="640" w:firstLineChars="200"/>
        <w:rPr>
          <w:rFonts w:eastAsia="仿宋_GB2312"/>
          <w:sz w:val="32"/>
          <w:szCs w:val="32"/>
        </w:rPr>
      </w:pPr>
      <w:r>
        <w:rPr>
          <w:rFonts w:eastAsia="仿宋_GB2312"/>
          <w:sz w:val="32"/>
          <w:szCs w:val="32"/>
        </w:rPr>
        <w:t>（3）Ⅱ级及以上港口突发事件</w:t>
      </w:r>
    </w:p>
    <w:p>
      <w:pPr>
        <w:snapToGrid w:val="0"/>
        <w:spacing w:line="560" w:lineRule="exact"/>
        <w:ind w:firstLine="640" w:firstLineChars="200"/>
        <w:rPr>
          <w:rFonts w:eastAsia="仿宋_GB2312"/>
          <w:sz w:val="32"/>
          <w:szCs w:val="32"/>
        </w:rPr>
      </w:pPr>
      <w:r>
        <w:rPr>
          <w:rFonts w:eastAsia="仿宋_GB2312"/>
          <w:sz w:val="32"/>
          <w:szCs w:val="32"/>
        </w:rPr>
        <w:t>对于Ⅱ级及以上港口突发事件，市交通运输局及其所属单位在现场应急指挥部的统一指挥下，配合开展现场应急处置和救援工作。</w:t>
      </w:r>
    </w:p>
    <w:p>
      <w:pPr>
        <w:pStyle w:val="3"/>
        <w:snapToGrid w:val="0"/>
        <w:spacing w:line="560" w:lineRule="atLeast"/>
        <w:ind w:firstLine="640"/>
        <w:rPr>
          <w:rFonts w:eastAsia="楷体"/>
          <w:b w:val="0"/>
          <w:bCs w:val="0"/>
          <w:sz w:val="32"/>
        </w:rPr>
      </w:pPr>
      <w:bookmarkStart w:id="37" w:name="_Toc121478034"/>
      <w:r>
        <w:rPr>
          <w:rFonts w:eastAsia="楷体"/>
          <w:b w:val="0"/>
          <w:bCs w:val="0"/>
          <w:sz w:val="32"/>
        </w:rPr>
        <w:t>5.6应急措施</w:t>
      </w:r>
      <w:bookmarkEnd w:id="37"/>
    </w:p>
    <w:p>
      <w:pPr>
        <w:snapToGrid w:val="0"/>
        <w:spacing w:line="560" w:lineRule="exact"/>
        <w:ind w:firstLine="640" w:firstLineChars="200"/>
        <w:rPr>
          <w:rFonts w:eastAsia="仿宋_GB2312"/>
          <w:sz w:val="32"/>
          <w:szCs w:val="32"/>
        </w:rPr>
      </w:pPr>
      <w:r>
        <w:rPr>
          <w:rFonts w:eastAsia="仿宋_GB2312"/>
          <w:sz w:val="32"/>
          <w:szCs w:val="32"/>
        </w:rPr>
        <w:t>5.6.1基本应急措施</w:t>
      </w:r>
    </w:p>
    <w:p>
      <w:pPr>
        <w:snapToGrid w:val="0"/>
        <w:spacing w:line="560" w:lineRule="exact"/>
        <w:ind w:firstLine="640" w:firstLineChars="200"/>
        <w:rPr>
          <w:rFonts w:eastAsia="仿宋_GB2312"/>
          <w:sz w:val="32"/>
          <w:szCs w:val="32"/>
        </w:rPr>
      </w:pPr>
      <w:r>
        <w:rPr>
          <w:rFonts w:eastAsia="仿宋_GB2312"/>
          <w:sz w:val="32"/>
          <w:szCs w:val="32"/>
        </w:rPr>
        <w:t>港口突发事件应急指挥部负责指挥港口突发事件的应急处置，组织落实相应的处置措施。</w:t>
      </w:r>
      <w:r>
        <w:rPr>
          <w:rFonts w:hint="eastAsia" w:eastAsia="仿宋_GB2312"/>
          <w:sz w:val="32"/>
          <w:szCs w:val="32"/>
        </w:rPr>
        <w:t>各港口企业作为安全生产主体责任单位负责落实具体应急处置措施。</w:t>
      </w:r>
    </w:p>
    <w:p>
      <w:pPr>
        <w:snapToGrid w:val="0"/>
        <w:spacing w:line="560" w:lineRule="exact"/>
        <w:ind w:firstLine="640" w:firstLineChars="200"/>
        <w:rPr>
          <w:rFonts w:eastAsia="仿宋_GB2312"/>
          <w:sz w:val="32"/>
          <w:szCs w:val="32"/>
        </w:rPr>
      </w:pPr>
      <w:r>
        <w:rPr>
          <w:rFonts w:eastAsia="仿宋_GB2312"/>
          <w:sz w:val="32"/>
          <w:szCs w:val="32"/>
        </w:rPr>
        <w:t>各应急救援工作组负责及时收集、掌握相关信息，根据灾害特点、类别，应急物资的分布等，组织落实应急处置措施，并及时将事件最新动态和处置情况上报港口突发事件应急指挥部，根据现场情况采取下列一项或者多项应急处置措施：</w:t>
      </w:r>
    </w:p>
    <w:p>
      <w:pPr>
        <w:snapToGrid w:val="0"/>
        <w:spacing w:line="560" w:lineRule="exact"/>
        <w:ind w:firstLine="640" w:firstLineChars="200"/>
        <w:rPr>
          <w:rFonts w:eastAsia="仿宋_GB2312"/>
          <w:sz w:val="32"/>
          <w:szCs w:val="32"/>
        </w:rPr>
      </w:pPr>
      <w:r>
        <w:rPr>
          <w:rFonts w:eastAsia="仿宋_GB2312"/>
          <w:sz w:val="32"/>
          <w:szCs w:val="32"/>
        </w:rPr>
        <w:t>（1）组织协调营救和救治受害人员，疏散、撤离并妥善安置受到威胁的人员以及采取其他救助措施。</w:t>
      </w:r>
    </w:p>
    <w:p>
      <w:pPr>
        <w:snapToGrid w:val="0"/>
        <w:spacing w:line="560" w:lineRule="exact"/>
        <w:ind w:firstLine="640" w:firstLineChars="200"/>
        <w:rPr>
          <w:rFonts w:eastAsia="仿宋_GB2312"/>
          <w:sz w:val="32"/>
          <w:szCs w:val="32"/>
        </w:rPr>
      </w:pPr>
      <w:r>
        <w:rPr>
          <w:rFonts w:eastAsia="仿宋_GB2312"/>
          <w:sz w:val="32"/>
          <w:szCs w:val="32"/>
        </w:rPr>
        <w:t>（2）组织协调应急队伍迅速控制港口突发事件危险源，标明危险区域，封锁危险场所，划定警戒区，实行交通管制以及其他控制措施。</w:t>
      </w:r>
    </w:p>
    <w:p>
      <w:pPr>
        <w:snapToGrid w:val="0"/>
        <w:spacing w:line="560" w:lineRule="exact"/>
        <w:ind w:firstLine="640" w:firstLineChars="200"/>
        <w:rPr>
          <w:rFonts w:eastAsia="仿宋_GB2312"/>
          <w:sz w:val="32"/>
          <w:szCs w:val="32"/>
        </w:rPr>
      </w:pPr>
      <w:r>
        <w:rPr>
          <w:rFonts w:eastAsia="仿宋_GB2312"/>
          <w:sz w:val="32"/>
          <w:szCs w:val="32"/>
        </w:rPr>
        <w:t>（3）封锁港口突发事件现场，查验现场人员的身份证件，限制港口突发事件区域内的活动。</w:t>
      </w:r>
    </w:p>
    <w:p>
      <w:pPr>
        <w:snapToGrid w:val="0"/>
        <w:spacing w:line="560" w:lineRule="exact"/>
        <w:ind w:firstLine="640" w:firstLineChars="200"/>
        <w:rPr>
          <w:rFonts w:eastAsia="仿宋_GB2312"/>
          <w:sz w:val="32"/>
          <w:szCs w:val="32"/>
        </w:rPr>
      </w:pPr>
      <w:r>
        <w:rPr>
          <w:rFonts w:eastAsia="仿宋_GB2312"/>
          <w:sz w:val="32"/>
          <w:szCs w:val="32"/>
        </w:rPr>
        <w:t>（4）组织立即抢修被损坏的通信、供水、排水、供电等设施，向受到港口突发事件危害的人员提供应急避难场所和生活必需品，实施必要的医疗救护和卫生防疫等保障措施。</w:t>
      </w:r>
    </w:p>
    <w:p>
      <w:pPr>
        <w:snapToGrid w:val="0"/>
        <w:spacing w:line="560" w:lineRule="exact"/>
        <w:ind w:firstLine="640" w:firstLineChars="200"/>
        <w:rPr>
          <w:rFonts w:eastAsia="仿宋_GB2312"/>
          <w:sz w:val="32"/>
          <w:szCs w:val="32"/>
        </w:rPr>
      </w:pPr>
      <w:r>
        <w:rPr>
          <w:rFonts w:eastAsia="仿宋_GB2312"/>
          <w:sz w:val="32"/>
          <w:szCs w:val="32"/>
        </w:rPr>
        <w:t>（5）启用储备的应急救援物资，必要时调用其他急需物资、设备、设施、工具。</w:t>
      </w:r>
    </w:p>
    <w:p>
      <w:pPr>
        <w:snapToGrid w:val="0"/>
        <w:spacing w:line="560" w:lineRule="exact"/>
        <w:ind w:firstLine="640" w:firstLineChars="200"/>
        <w:rPr>
          <w:rFonts w:eastAsia="仿宋_GB2312"/>
          <w:sz w:val="32"/>
          <w:szCs w:val="32"/>
        </w:rPr>
      </w:pPr>
      <w:r>
        <w:rPr>
          <w:rFonts w:eastAsia="仿宋_GB2312"/>
          <w:sz w:val="32"/>
          <w:szCs w:val="32"/>
        </w:rPr>
        <w:t>（6）采取防止发生次生、衍生事件的必要措施。</w:t>
      </w:r>
    </w:p>
    <w:p>
      <w:pPr>
        <w:snapToGrid w:val="0"/>
        <w:spacing w:line="560" w:lineRule="exact"/>
        <w:ind w:firstLine="640" w:firstLineChars="200"/>
        <w:rPr>
          <w:rFonts w:eastAsia="仿宋_GB2312"/>
          <w:sz w:val="32"/>
          <w:szCs w:val="32"/>
        </w:rPr>
      </w:pPr>
      <w:r>
        <w:rPr>
          <w:rFonts w:eastAsia="仿宋_GB2312"/>
          <w:sz w:val="32"/>
          <w:szCs w:val="32"/>
        </w:rPr>
        <w:t>5.6.2现场应急处置措施</w:t>
      </w:r>
    </w:p>
    <w:p>
      <w:pPr>
        <w:snapToGrid w:val="0"/>
        <w:spacing w:line="560" w:lineRule="exact"/>
        <w:ind w:firstLine="640" w:firstLineChars="200"/>
        <w:rPr>
          <w:rFonts w:eastAsia="仿宋_GB2312"/>
          <w:sz w:val="32"/>
          <w:szCs w:val="32"/>
        </w:rPr>
      </w:pPr>
      <w:r>
        <w:rPr>
          <w:rFonts w:eastAsia="仿宋_GB2312"/>
          <w:sz w:val="32"/>
          <w:szCs w:val="32"/>
        </w:rPr>
        <w:t>（1）综合性应急处置措施</w:t>
      </w:r>
    </w:p>
    <w:p>
      <w:pPr>
        <w:snapToGrid w:val="0"/>
        <w:spacing w:line="560" w:lineRule="exact"/>
        <w:ind w:firstLine="640" w:firstLineChars="200"/>
        <w:rPr>
          <w:rFonts w:eastAsia="仿宋_GB2312"/>
          <w:sz w:val="32"/>
          <w:szCs w:val="32"/>
        </w:rPr>
      </w:pPr>
      <w:r>
        <w:rPr>
          <w:rFonts w:hint="eastAsia" w:eastAsia="仿宋_GB2312"/>
          <w:sz w:val="32"/>
          <w:szCs w:val="32"/>
        </w:rPr>
        <w:t>①</w:t>
      </w:r>
      <w:r>
        <w:rPr>
          <w:rFonts w:eastAsia="仿宋_GB2312"/>
          <w:sz w:val="32"/>
          <w:szCs w:val="32"/>
        </w:rPr>
        <w:t>确定沿江港口危险货物事故发生的位置，以及事故发生区域的周围环境。</w:t>
      </w:r>
    </w:p>
    <w:p>
      <w:pPr>
        <w:snapToGrid w:val="0"/>
        <w:spacing w:line="560" w:lineRule="exact"/>
        <w:ind w:firstLine="640" w:firstLineChars="200"/>
        <w:rPr>
          <w:rFonts w:eastAsia="仿宋_GB2312"/>
          <w:sz w:val="32"/>
          <w:szCs w:val="32"/>
        </w:rPr>
      </w:pPr>
      <w:r>
        <w:rPr>
          <w:rFonts w:hint="eastAsia" w:eastAsia="仿宋_GB2312"/>
          <w:sz w:val="32"/>
          <w:szCs w:val="32"/>
        </w:rPr>
        <w:t>②</w:t>
      </w:r>
      <w:r>
        <w:rPr>
          <w:rFonts w:eastAsia="仿宋_GB2312"/>
          <w:sz w:val="32"/>
          <w:szCs w:val="32"/>
        </w:rPr>
        <w:t>确定引发事故的原因，引起事故的危险货物类别，防止次生事故的发生，注意有毒有害气体的防护。</w:t>
      </w:r>
    </w:p>
    <w:p>
      <w:pPr>
        <w:snapToGrid w:val="0"/>
        <w:spacing w:line="560" w:lineRule="exact"/>
        <w:ind w:firstLine="640" w:firstLineChars="200"/>
        <w:rPr>
          <w:rFonts w:eastAsia="仿宋_GB2312"/>
          <w:sz w:val="32"/>
          <w:szCs w:val="32"/>
        </w:rPr>
      </w:pPr>
      <w:r>
        <w:rPr>
          <w:rFonts w:hint="eastAsia" w:eastAsia="仿宋_GB2312"/>
          <w:sz w:val="32"/>
          <w:szCs w:val="32"/>
        </w:rPr>
        <w:t>③</w:t>
      </w:r>
      <w:r>
        <w:rPr>
          <w:rFonts w:eastAsia="仿宋_GB2312"/>
          <w:sz w:val="32"/>
          <w:szCs w:val="32"/>
        </w:rPr>
        <w:t>协调联系应急救援处置的专业技术专家赴现场指导应急救援工作。</w:t>
      </w:r>
    </w:p>
    <w:p>
      <w:pPr>
        <w:snapToGrid w:val="0"/>
        <w:spacing w:line="560" w:lineRule="exact"/>
        <w:ind w:firstLine="640" w:firstLineChars="200"/>
        <w:rPr>
          <w:rFonts w:eastAsia="仿宋_GB2312"/>
          <w:sz w:val="32"/>
          <w:szCs w:val="32"/>
        </w:rPr>
      </w:pPr>
      <w:r>
        <w:rPr>
          <w:rFonts w:hint="eastAsia" w:eastAsia="仿宋_GB2312"/>
          <w:sz w:val="32"/>
          <w:szCs w:val="32"/>
        </w:rPr>
        <w:t>④</w:t>
      </w:r>
      <w:r>
        <w:rPr>
          <w:rFonts w:eastAsia="仿宋_GB2312"/>
          <w:sz w:val="32"/>
          <w:szCs w:val="32"/>
        </w:rPr>
        <w:t>利用现场应急救援器材和设施进行自救，控制事故的蔓延或扩大。</w:t>
      </w:r>
    </w:p>
    <w:p>
      <w:pPr>
        <w:snapToGrid w:val="0"/>
        <w:spacing w:line="560" w:lineRule="exact"/>
        <w:ind w:firstLine="640" w:firstLineChars="200"/>
        <w:rPr>
          <w:rFonts w:eastAsia="仿宋_GB2312"/>
          <w:sz w:val="32"/>
          <w:szCs w:val="32"/>
        </w:rPr>
      </w:pPr>
      <w:r>
        <w:rPr>
          <w:rFonts w:hint="eastAsia" w:eastAsia="仿宋_GB2312"/>
          <w:sz w:val="32"/>
          <w:szCs w:val="32"/>
        </w:rPr>
        <w:t>⑤</w:t>
      </w:r>
      <w:r>
        <w:rPr>
          <w:rFonts w:eastAsia="仿宋_GB2312"/>
          <w:sz w:val="32"/>
          <w:szCs w:val="32"/>
        </w:rPr>
        <w:t>确定周围区域存在的重大风险源分布。</w:t>
      </w:r>
    </w:p>
    <w:p>
      <w:pPr>
        <w:snapToGrid w:val="0"/>
        <w:spacing w:line="560" w:lineRule="exact"/>
        <w:ind w:firstLine="640" w:firstLineChars="200"/>
        <w:rPr>
          <w:rFonts w:eastAsia="仿宋_GB2312"/>
          <w:sz w:val="32"/>
          <w:szCs w:val="32"/>
        </w:rPr>
      </w:pPr>
      <w:r>
        <w:rPr>
          <w:rFonts w:hint="eastAsia" w:eastAsia="仿宋_GB2312"/>
          <w:sz w:val="32"/>
          <w:szCs w:val="32"/>
        </w:rPr>
        <w:t>⑥</w:t>
      </w:r>
      <w:r>
        <w:rPr>
          <w:rFonts w:eastAsia="仿宋_GB2312"/>
          <w:sz w:val="32"/>
          <w:szCs w:val="32"/>
        </w:rPr>
        <w:t>确定事故可能导致的后果及对周围区域的可能影响规模和程度。</w:t>
      </w:r>
    </w:p>
    <w:p>
      <w:pPr>
        <w:snapToGrid w:val="0"/>
        <w:spacing w:line="560" w:lineRule="exact"/>
        <w:ind w:firstLine="640" w:firstLineChars="200"/>
        <w:rPr>
          <w:rFonts w:eastAsia="仿宋_GB2312"/>
          <w:sz w:val="32"/>
          <w:szCs w:val="32"/>
        </w:rPr>
      </w:pPr>
      <w:r>
        <w:rPr>
          <w:rFonts w:hint="eastAsia" w:eastAsia="仿宋_GB2312"/>
          <w:sz w:val="32"/>
          <w:szCs w:val="32"/>
        </w:rPr>
        <w:t>⑦</w:t>
      </w:r>
      <w:r>
        <w:rPr>
          <w:rFonts w:eastAsia="仿宋_GB2312"/>
          <w:sz w:val="32"/>
          <w:szCs w:val="32"/>
        </w:rPr>
        <w:t>确定事故的主要控制措施（控制火灾蔓延、人员疏散、医疗救护等）及可能需要调动的应急救援力量。</w:t>
      </w:r>
    </w:p>
    <w:p>
      <w:pPr>
        <w:snapToGrid w:val="0"/>
        <w:spacing w:line="560" w:lineRule="exact"/>
        <w:ind w:firstLine="640" w:firstLineChars="200"/>
        <w:rPr>
          <w:rFonts w:eastAsia="仿宋_GB2312"/>
          <w:sz w:val="32"/>
          <w:szCs w:val="32"/>
        </w:rPr>
      </w:pPr>
      <w:r>
        <w:rPr>
          <w:rFonts w:eastAsia="仿宋_GB2312"/>
          <w:sz w:val="32"/>
          <w:szCs w:val="32"/>
        </w:rPr>
        <w:t>（2）泄漏事故现场处置措施</w:t>
      </w:r>
    </w:p>
    <w:p>
      <w:pPr>
        <w:snapToGrid w:val="0"/>
        <w:spacing w:line="560" w:lineRule="exact"/>
        <w:ind w:firstLine="640" w:firstLineChars="200"/>
        <w:rPr>
          <w:rFonts w:eastAsia="仿宋_GB2312"/>
          <w:sz w:val="32"/>
          <w:szCs w:val="32"/>
        </w:rPr>
      </w:pPr>
      <w:r>
        <w:rPr>
          <w:rFonts w:hint="eastAsia" w:eastAsia="仿宋_GB2312"/>
          <w:sz w:val="32"/>
          <w:szCs w:val="32"/>
        </w:rPr>
        <w:t>①</w:t>
      </w:r>
      <w:r>
        <w:rPr>
          <w:rFonts w:eastAsia="仿宋_GB2312"/>
          <w:sz w:val="32"/>
          <w:szCs w:val="32"/>
        </w:rPr>
        <w:t>了解泄漏物情况</w:t>
      </w:r>
    </w:p>
    <w:p>
      <w:pPr>
        <w:snapToGrid w:val="0"/>
        <w:spacing w:line="560" w:lineRule="exact"/>
        <w:ind w:firstLine="640" w:firstLineChars="200"/>
        <w:rPr>
          <w:rFonts w:eastAsia="仿宋_GB2312"/>
          <w:sz w:val="32"/>
          <w:szCs w:val="32"/>
        </w:rPr>
      </w:pPr>
      <w:r>
        <w:rPr>
          <w:rFonts w:eastAsia="仿宋_GB2312"/>
          <w:sz w:val="32"/>
          <w:szCs w:val="32"/>
        </w:rPr>
        <w:t>泄漏物的种类、性质、包装和数量，是否有遇水可溶性、燃烧或爆炸性物质，以及现有的溢油量，泄漏物是否漂浮、散发以及危害程度和对水体的污染程度。</w:t>
      </w:r>
    </w:p>
    <w:p>
      <w:pPr>
        <w:snapToGrid w:val="0"/>
        <w:spacing w:line="560" w:lineRule="exact"/>
        <w:ind w:firstLine="640" w:firstLineChars="200"/>
        <w:rPr>
          <w:rFonts w:eastAsia="仿宋_GB2312"/>
          <w:sz w:val="32"/>
          <w:szCs w:val="32"/>
        </w:rPr>
      </w:pPr>
      <w:r>
        <w:rPr>
          <w:rFonts w:hint="eastAsia" w:eastAsia="仿宋_GB2312"/>
          <w:sz w:val="32"/>
          <w:szCs w:val="32"/>
        </w:rPr>
        <w:t>②</w:t>
      </w:r>
      <w:r>
        <w:rPr>
          <w:rFonts w:eastAsia="仿宋_GB2312"/>
          <w:sz w:val="32"/>
          <w:szCs w:val="32"/>
        </w:rPr>
        <w:t>进入泄漏现场进行处理时，应注意人员的安全防护：</w:t>
      </w:r>
    </w:p>
    <w:p>
      <w:pPr>
        <w:snapToGrid w:val="0"/>
        <w:spacing w:line="560" w:lineRule="exact"/>
        <w:ind w:firstLine="640" w:firstLineChars="200"/>
        <w:rPr>
          <w:rFonts w:eastAsia="仿宋_GB2312"/>
          <w:sz w:val="32"/>
          <w:szCs w:val="32"/>
        </w:rPr>
      </w:pPr>
      <w:r>
        <w:rPr>
          <w:rFonts w:eastAsia="仿宋_GB2312"/>
          <w:sz w:val="32"/>
          <w:szCs w:val="32"/>
        </w:rPr>
        <w:t>1）进入现场救援人员必须配备必要的个人防护器具。</w:t>
      </w:r>
    </w:p>
    <w:p>
      <w:pPr>
        <w:snapToGrid w:val="0"/>
        <w:spacing w:line="560" w:lineRule="exact"/>
        <w:ind w:firstLine="640" w:firstLineChars="200"/>
        <w:rPr>
          <w:rFonts w:eastAsia="仿宋_GB2312"/>
          <w:sz w:val="32"/>
          <w:szCs w:val="32"/>
        </w:rPr>
      </w:pPr>
      <w:r>
        <w:rPr>
          <w:rFonts w:eastAsia="仿宋_GB2312"/>
          <w:sz w:val="32"/>
          <w:szCs w:val="32"/>
        </w:rPr>
        <w:t>2）如果泄漏物是易燃易爆介质，事故中心区域应严禁火种、切断电源、禁止车辆进入、立即在边界设置警戒线。根据事故情况和事故发展，确定事故波及区人员的撤离。</w:t>
      </w:r>
    </w:p>
    <w:p>
      <w:pPr>
        <w:snapToGrid w:val="0"/>
        <w:spacing w:line="560" w:lineRule="exact"/>
        <w:ind w:firstLine="640" w:firstLineChars="200"/>
        <w:rPr>
          <w:rFonts w:eastAsia="仿宋_GB2312"/>
          <w:sz w:val="32"/>
          <w:szCs w:val="32"/>
        </w:rPr>
      </w:pPr>
      <w:r>
        <w:rPr>
          <w:rFonts w:eastAsia="仿宋_GB2312"/>
          <w:sz w:val="32"/>
          <w:szCs w:val="32"/>
        </w:rPr>
        <w:t>3）如果泄漏物是有毒介质，应使用专用防护服、隔离式空气呼吸器。根据不同介质和泄漏量确定夜间和日间疏散距离，立即在事故中心区边界设置警戒线。根据事故情况和事故发展，确定事故波及区人员的撤离。</w:t>
      </w:r>
    </w:p>
    <w:p>
      <w:pPr>
        <w:snapToGrid w:val="0"/>
        <w:spacing w:line="560" w:lineRule="exact"/>
        <w:ind w:firstLine="640" w:firstLineChars="200"/>
        <w:rPr>
          <w:rFonts w:eastAsia="仿宋_GB2312"/>
          <w:sz w:val="32"/>
          <w:szCs w:val="32"/>
        </w:rPr>
      </w:pPr>
      <w:r>
        <w:rPr>
          <w:rFonts w:eastAsia="仿宋_GB2312"/>
          <w:sz w:val="32"/>
          <w:szCs w:val="32"/>
        </w:rPr>
        <w:t>4）对于一些理化性质特殊的危险货物，需特别注意防护。如浓硫酸遇水能放出大量的热，会导致沸腾飞溅，少量泄漏时，可用大量低压水快速扑救，如泄漏量很大，应先用二氧化碳、干粉等灭火，然后再将着火物品与浓硫酸分开。</w:t>
      </w:r>
    </w:p>
    <w:p>
      <w:pPr>
        <w:snapToGrid w:val="0"/>
        <w:spacing w:line="560" w:lineRule="exact"/>
        <w:ind w:firstLine="640" w:firstLineChars="200"/>
        <w:rPr>
          <w:rFonts w:eastAsia="仿宋_GB2312"/>
          <w:sz w:val="32"/>
          <w:szCs w:val="32"/>
        </w:rPr>
      </w:pPr>
      <w:r>
        <w:rPr>
          <w:rFonts w:eastAsia="仿宋_GB2312"/>
          <w:sz w:val="32"/>
          <w:szCs w:val="32"/>
        </w:rPr>
        <w:t>5）应急处理时要服从统一指挥，严禁单独行动，严格按专家组制定的方案执行。</w:t>
      </w:r>
    </w:p>
    <w:p>
      <w:pPr>
        <w:snapToGrid w:val="0"/>
        <w:spacing w:line="560" w:lineRule="exact"/>
        <w:ind w:firstLine="640" w:firstLineChars="200"/>
        <w:rPr>
          <w:rFonts w:eastAsia="仿宋_GB2312"/>
          <w:sz w:val="32"/>
          <w:szCs w:val="32"/>
        </w:rPr>
      </w:pPr>
      <w:r>
        <w:rPr>
          <w:rFonts w:hint="eastAsia" w:eastAsia="仿宋_GB2312"/>
          <w:sz w:val="32"/>
          <w:szCs w:val="32"/>
        </w:rPr>
        <w:t>③</w:t>
      </w:r>
      <w:r>
        <w:rPr>
          <w:rFonts w:eastAsia="仿宋_GB2312"/>
          <w:sz w:val="32"/>
          <w:szCs w:val="32"/>
        </w:rPr>
        <w:t>泄漏源控制</w:t>
      </w:r>
    </w:p>
    <w:p>
      <w:pPr>
        <w:snapToGrid w:val="0"/>
        <w:spacing w:line="560" w:lineRule="exact"/>
        <w:ind w:firstLine="640" w:firstLineChars="200"/>
        <w:rPr>
          <w:rFonts w:eastAsia="仿宋_GB2312"/>
          <w:sz w:val="32"/>
          <w:szCs w:val="32"/>
        </w:rPr>
      </w:pPr>
      <w:r>
        <w:rPr>
          <w:rFonts w:eastAsia="仿宋_GB2312"/>
          <w:sz w:val="32"/>
          <w:szCs w:val="32"/>
        </w:rPr>
        <w:t>1）采取有效措施封堵泄漏口，控制泄漏源以消除危险货物的溢出或泄漏。</w:t>
      </w:r>
    </w:p>
    <w:p>
      <w:pPr>
        <w:snapToGrid w:val="0"/>
        <w:spacing w:line="560" w:lineRule="exact"/>
        <w:ind w:firstLine="640" w:firstLineChars="200"/>
        <w:rPr>
          <w:rFonts w:eastAsia="仿宋_GB2312"/>
          <w:sz w:val="32"/>
          <w:szCs w:val="32"/>
        </w:rPr>
      </w:pPr>
      <w:r>
        <w:rPr>
          <w:rFonts w:eastAsia="仿宋_GB2312"/>
          <w:sz w:val="32"/>
          <w:szCs w:val="32"/>
        </w:rPr>
        <w:t>2）一旦发生泄漏事故，立即停止一切装卸作业，关闭与泄漏点有关的阀门，立即停止有关泵阀门，严格控制火源。</w:t>
      </w:r>
    </w:p>
    <w:p>
      <w:pPr>
        <w:snapToGrid w:val="0"/>
        <w:spacing w:line="560" w:lineRule="exact"/>
        <w:ind w:firstLine="640" w:firstLineChars="200"/>
        <w:rPr>
          <w:rFonts w:eastAsia="仿宋_GB2312"/>
          <w:sz w:val="32"/>
          <w:szCs w:val="32"/>
        </w:rPr>
      </w:pPr>
      <w:r>
        <w:rPr>
          <w:rFonts w:eastAsia="仿宋_GB2312"/>
          <w:sz w:val="32"/>
          <w:szCs w:val="32"/>
        </w:rPr>
        <w:t>3）储罐区发生液体泄漏时，要及时关闭堤内和堤外雨水阀切断阀，防止物料沿阴沟外溢。</w:t>
      </w:r>
    </w:p>
    <w:p>
      <w:pPr>
        <w:snapToGrid w:val="0"/>
        <w:spacing w:line="560" w:lineRule="exact"/>
        <w:ind w:firstLine="640" w:firstLineChars="200"/>
        <w:rPr>
          <w:rFonts w:eastAsia="仿宋_GB2312"/>
          <w:sz w:val="32"/>
          <w:szCs w:val="32"/>
        </w:rPr>
      </w:pPr>
      <w:r>
        <w:rPr>
          <w:rFonts w:eastAsia="仿宋_GB2312"/>
          <w:sz w:val="32"/>
          <w:szCs w:val="32"/>
        </w:rPr>
        <w:t>4）船舶发生泄漏事故时，应立即关好作业船舶液货舱的缸盖，拆除船舶与码头管道的连接设施，安排过驳泄漏船舶船舱内的物料。施救船舶必须具有良好的防火防爆设备，从上风靠近。</w:t>
      </w:r>
    </w:p>
    <w:p>
      <w:pPr>
        <w:snapToGrid w:val="0"/>
        <w:spacing w:line="560" w:lineRule="exact"/>
        <w:ind w:firstLine="640" w:firstLineChars="200"/>
        <w:rPr>
          <w:rFonts w:eastAsia="仿宋_GB2312"/>
          <w:sz w:val="32"/>
          <w:szCs w:val="32"/>
        </w:rPr>
      </w:pPr>
      <w:r>
        <w:rPr>
          <w:rFonts w:hint="eastAsia" w:eastAsia="仿宋_GB2312"/>
          <w:sz w:val="32"/>
          <w:szCs w:val="32"/>
        </w:rPr>
        <w:t>④</w:t>
      </w:r>
      <w:r>
        <w:rPr>
          <w:rFonts w:eastAsia="仿宋_GB2312"/>
          <w:sz w:val="32"/>
          <w:szCs w:val="32"/>
        </w:rPr>
        <w:t>泄漏物处理</w:t>
      </w:r>
    </w:p>
    <w:p>
      <w:pPr>
        <w:snapToGrid w:val="0"/>
        <w:spacing w:line="560" w:lineRule="exact"/>
        <w:ind w:firstLine="640" w:firstLineChars="200"/>
        <w:rPr>
          <w:rFonts w:eastAsia="仿宋_GB2312"/>
          <w:sz w:val="32"/>
          <w:szCs w:val="32"/>
        </w:rPr>
      </w:pPr>
      <w:r>
        <w:rPr>
          <w:rFonts w:eastAsia="仿宋_GB2312"/>
          <w:sz w:val="32"/>
          <w:szCs w:val="32"/>
        </w:rPr>
        <w:t>现场泄漏物要及时得到安全可靠的处置，防止二次事故的发生。</w:t>
      </w:r>
    </w:p>
    <w:p>
      <w:pPr>
        <w:snapToGrid w:val="0"/>
        <w:spacing w:line="560" w:lineRule="exact"/>
        <w:ind w:firstLine="640" w:firstLineChars="200"/>
        <w:rPr>
          <w:rFonts w:eastAsia="仿宋_GB2312"/>
          <w:sz w:val="32"/>
          <w:szCs w:val="32"/>
        </w:rPr>
      </w:pPr>
      <w:r>
        <w:rPr>
          <w:rFonts w:eastAsia="仿宋_GB2312"/>
          <w:sz w:val="32"/>
          <w:szCs w:val="32"/>
        </w:rPr>
        <w:t>1）覆盖、稀释与处理：向有害物蒸气云喷射雾状水或能抑制物性的中和介质，加速气体溶解稀释和沉降落地，减少气体向周围扩散程度。对于可燃物，可以采用断链和覆盖窒息，破坏燃烧条件；对于液体泄漏，为降低物料向大气中的蒸发速度，根据物料的相对密度及饱和蒸气压大小确定用干粉中止链式反应、泡沫（或抗溶性泡沫）或其他覆盖物品覆盖外泄的物料，在其表面形成覆盖层，抑制其蒸发。</w:t>
      </w:r>
    </w:p>
    <w:p>
      <w:pPr>
        <w:snapToGrid w:val="0"/>
        <w:spacing w:line="560" w:lineRule="exact"/>
        <w:ind w:firstLine="640" w:firstLineChars="200"/>
        <w:rPr>
          <w:rFonts w:eastAsia="仿宋_GB2312"/>
          <w:sz w:val="32"/>
          <w:szCs w:val="32"/>
        </w:rPr>
      </w:pPr>
      <w:r>
        <w:rPr>
          <w:rFonts w:eastAsia="仿宋_GB2312"/>
          <w:sz w:val="32"/>
          <w:szCs w:val="32"/>
        </w:rPr>
        <w:t>2）收容（集）：对于码头管道及船舶泄漏，使用围油栏对水面非水溶性危险货物采取围控措施，使用收油机等设备设施清除泄漏的物料；对于大型容器和管道泄漏，可选择用膈膜泵将泄漏出的物料抽入容器内或槽车内；当泄漏量小时，可用沙子、吸附材料、中和材料等吸收中和。对硫磺、沥青等在水中凝结成块的物料，以及危险货物集装箱，可探明货物的散落位置并进行打捞。</w:t>
      </w:r>
    </w:p>
    <w:p>
      <w:pPr>
        <w:snapToGrid w:val="0"/>
        <w:spacing w:line="560" w:lineRule="exact"/>
        <w:ind w:firstLine="640" w:firstLineChars="200"/>
        <w:rPr>
          <w:rFonts w:eastAsia="仿宋_GB2312"/>
          <w:sz w:val="32"/>
          <w:szCs w:val="32"/>
        </w:rPr>
      </w:pPr>
      <w:r>
        <w:rPr>
          <w:rFonts w:eastAsia="仿宋_GB2312"/>
          <w:sz w:val="32"/>
          <w:szCs w:val="32"/>
        </w:rPr>
        <w:t>3）废弃：将收集的泄漏物运至废物处理场所处置；用消防水冲洗剩下的少量物料，冲洗水排入污水系统处理。对于码头管道及船舶泄漏，在将收集的泄漏物送废物处理场所处置之前，需做好漂浮物的打捞和取样，并妥善保管现场打捞的货物，指派专人负责。</w:t>
      </w:r>
    </w:p>
    <w:p>
      <w:pPr>
        <w:snapToGrid w:val="0"/>
        <w:spacing w:line="560" w:lineRule="exact"/>
        <w:ind w:firstLine="640" w:firstLineChars="200"/>
        <w:rPr>
          <w:rFonts w:eastAsia="仿宋_GB2312"/>
          <w:sz w:val="32"/>
          <w:szCs w:val="32"/>
        </w:rPr>
      </w:pPr>
      <w:r>
        <w:rPr>
          <w:rFonts w:eastAsia="仿宋_GB2312"/>
          <w:sz w:val="32"/>
          <w:szCs w:val="32"/>
        </w:rPr>
        <w:t>（3）火灾事故现场处置措施</w:t>
      </w:r>
    </w:p>
    <w:p>
      <w:pPr>
        <w:snapToGrid w:val="0"/>
        <w:spacing w:line="560" w:lineRule="exact"/>
        <w:ind w:firstLine="640" w:firstLineChars="200"/>
        <w:rPr>
          <w:rFonts w:eastAsia="仿宋_GB2312"/>
          <w:sz w:val="32"/>
          <w:szCs w:val="32"/>
        </w:rPr>
      </w:pPr>
      <w:r>
        <w:rPr>
          <w:rFonts w:eastAsia="仿宋_GB2312"/>
          <w:sz w:val="32"/>
          <w:szCs w:val="32"/>
        </w:rPr>
        <w:t>火灾分为固体火灾、液体火灾和气体火灾。针对火灾类型不同，采取不同的处置措施，主要处置措施包括：灭火、隔绝、堵漏、拦截、稀释、中和、覆盖、泄压、转移、收集、点火控制燃烧等。</w:t>
      </w:r>
    </w:p>
    <w:p>
      <w:pPr>
        <w:snapToGrid w:val="0"/>
        <w:spacing w:line="560" w:lineRule="exact"/>
        <w:ind w:firstLine="640" w:firstLineChars="200"/>
        <w:rPr>
          <w:rFonts w:eastAsia="仿宋_GB2312"/>
          <w:sz w:val="32"/>
          <w:szCs w:val="32"/>
        </w:rPr>
      </w:pPr>
      <w:r>
        <w:rPr>
          <w:rFonts w:hint="eastAsia" w:eastAsia="仿宋_GB2312"/>
          <w:sz w:val="32"/>
          <w:szCs w:val="32"/>
        </w:rPr>
        <w:t>①</w:t>
      </w:r>
      <w:r>
        <w:rPr>
          <w:rFonts w:eastAsia="仿宋_GB2312"/>
          <w:sz w:val="32"/>
          <w:szCs w:val="32"/>
        </w:rPr>
        <w:t>压缩气体和液化气体火灾事故处置措施</w:t>
      </w:r>
    </w:p>
    <w:p>
      <w:pPr>
        <w:snapToGrid w:val="0"/>
        <w:spacing w:line="560" w:lineRule="exact"/>
        <w:ind w:firstLine="640" w:firstLineChars="200"/>
        <w:rPr>
          <w:rFonts w:eastAsia="仿宋_GB2312"/>
          <w:sz w:val="32"/>
          <w:szCs w:val="32"/>
        </w:rPr>
      </w:pPr>
      <w:r>
        <w:rPr>
          <w:rFonts w:eastAsia="仿宋_GB2312"/>
          <w:sz w:val="32"/>
          <w:szCs w:val="32"/>
        </w:rPr>
        <w:t>1）扑救气体火灾切忌盲目灭火，避免大量可燃气体与空气混合发生爆炸。</w:t>
      </w:r>
    </w:p>
    <w:p>
      <w:pPr>
        <w:snapToGrid w:val="0"/>
        <w:spacing w:line="560" w:lineRule="exact"/>
        <w:ind w:firstLine="640" w:firstLineChars="200"/>
        <w:rPr>
          <w:rFonts w:eastAsia="仿宋_GB2312"/>
          <w:sz w:val="32"/>
          <w:szCs w:val="32"/>
        </w:rPr>
      </w:pPr>
      <w:r>
        <w:rPr>
          <w:rFonts w:eastAsia="仿宋_GB2312"/>
          <w:sz w:val="32"/>
          <w:szCs w:val="32"/>
        </w:rPr>
        <w:t>2）先扑灭外围被火源引燃的可燃物火势，切断火势蔓延途径，控制燃烧范围，并积极抢救受伤和被困人员。</w:t>
      </w:r>
    </w:p>
    <w:p>
      <w:pPr>
        <w:snapToGrid w:val="0"/>
        <w:spacing w:line="560" w:lineRule="exact"/>
        <w:ind w:firstLine="640" w:firstLineChars="200"/>
        <w:rPr>
          <w:rFonts w:eastAsia="仿宋_GB2312"/>
          <w:sz w:val="32"/>
          <w:szCs w:val="32"/>
        </w:rPr>
      </w:pPr>
      <w:r>
        <w:rPr>
          <w:rFonts w:eastAsia="仿宋_GB2312"/>
          <w:sz w:val="32"/>
          <w:szCs w:val="32"/>
        </w:rPr>
        <w:t>3）火情中有压力容器或有受到火焰辐射威胁的压力容器，应尽量在水枪的掩护下疏散到安全地带，不能疏散的应部署足够的水枪进行冷却保护。冷却人员应尽量采用低姿射水或利用现场坚实的掩蔽体防护。对卧式储罐，冷却人员应选择储罐四侧角作为射水阵地。</w:t>
      </w:r>
    </w:p>
    <w:p>
      <w:pPr>
        <w:snapToGrid w:val="0"/>
        <w:spacing w:line="560" w:lineRule="exact"/>
        <w:ind w:firstLine="640" w:firstLineChars="200"/>
        <w:rPr>
          <w:rFonts w:eastAsia="仿宋_GB2312"/>
          <w:sz w:val="32"/>
          <w:szCs w:val="32"/>
        </w:rPr>
      </w:pPr>
      <w:r>
        <w:rPr>
          <w:rFonts w:eastAsia="仿宋_GB2312"/>
          <w:sz w:val="32"/>
          <w:szCs w:val="32"/>
        </w:rPr>
        <w:t>4）输气管道泄漏着火，应先找到并关闭气源阀门。</w:t>
      </w:r>
    </w:p>
    <w:p>
      <w:pPr>
        <w:snapToGrid w:val="0"/>
        <w:spacing w:line="560" w:lineRule="exact"/>
        <w:ind w:firstLine="640" w:firstLineChars="200"/>
        <w:rPr>
          <w:rFonts w:eastAsia="仿宋_GB2312"/>
          <w:sz w:val="32"/>
          <w:szCs w:val="32"/>
        </w:rPr>
      </w:pPr>
      <w:r>
        <w:rPr>
          <w:rFonts w:eastAsia="仿宋_GB2312"/>
          <w:sz w:val="32"/>
          <w:szCs w:val="32"/>
        </w:rPr>
        <w:t>5）储罐或管道泄漏关阀无效时，应根据火势大小判断气体压力和泄漏口的大小及其形状，准备好相应的堵漏材料。</w:t>
      </w:r>
    </w:p>
    <w:p>
      <w:pPr>
        <w:snapToGrid w:val="0"/>
        <w:spacing w:line="560" w:lineRule="exact"/>
        <w:ind w:firstLine="640" w:firstLineChars="200"/>
        <w:rPr>
          <w:rFonts w:eastAsia="仿宋_GB2312"/>
          <w:sz w:val="32"/>
          <w:szCs w:val="32"/>
        </w:rPr>
      </w:pPr>
      <w:r>
        <w:rPr>
          <w:rFonts w:eastAsia="仿宋_GB2312"/>
          <w:sz w:val="32"/>
          <w:szCs w:val="32"/>
        </w:rPr>
        <w:t>6）火扑灭后并冷却后，应立即用堵漏材料堵漏，同时用雾状水稀释和驱散泄漏出来的气体。</w:t>
      </w:r>
    </w:p>
    <w:p>
      <w:pPr>
        <w:snapToGrid w:val="0"/>
        <w:spacing w:line="560" w:lineRule="exact"/>
        <w:ind w:firstLine="640" w:firstLineChars="200"/>
        <w:rPr>
          <w:rFonts w:eastAsia="仿宋_GB2312"/>
          <w:sz w:val="32"/>
          <w:szCs w:val="32"/>
        </w:rPr>
      </w:pPr>
      <w:r>
        <w:rPr>
          <w:rFonts w:eastAsia="仿宋_GB2312"/>
          <w:sz w:val="32"/>
          <w:szCs w:val="32"/>
        </w:rPr>
        <w:t>7）如泄漏口较大无法堵漏时，应冷却着火容器及其周围容器和可燃物品，控制着火范围。</w:t>
      </w:r>
    </w:p>
    <w:p>
      <w:pPr>
        <w:snapToGrid w:val="0"/>
        <w:spacing w:line="560" w:lineRule="exact"/>
        <w:ind w:firstLine="640" w:firstLineChars="200"/>
        <w:rPr>
          <w:rFonts w:eastAsia="仿宋_GB2312"/>
          <w:sz w:val="32"/>
          <w:szCs w:val="32"/>
        </w:rPr>
      </w:pPr>
      <w:r>
        <w:rPr>
          <w:rFonts w:eastAsia="仿宋_GB2312"/>
          <w:sz w:val="32"/>
          <w:szCs w:val="32"/>
        </w:rPr>
        <w:t>8）现场指挥部应密切注意各种危险征兆，遇有较长时间未能稳定燃烧或受热辐射的容器安全阀火焰变亮耀眼、尖叫、晃动等爆裂征兆时，指挥长必须适时做出准确判断，及时下达撤退命令。</w:t>
      </w:r>
    </w:p>
    <w:p>
      <w:pPr>
        <w:snapToGrid w:val="0"/>
        <w:spacing w:line="560" w:lineRule="exact"/>
        <w:ind w:firstLine="640" w:firstLineChars="200"/>
        <w:rPr>
          <w:rFonts w:eastAsia="仿宋_GB2312"/>
          <w:sz w:val="32"/>
          <w:szCs w:val="32"/>
        </w:rPr>
      </w:pPr>
      <w:r>
        <w:rPr>
          <w:rFonts w:hint="eastAsia" w:eastAsia="仿宋_GB2312"/>
          <w:sz w:val="32"/>
          <w:szCs w:val="32"/>
        </w:rPr>
        <w:t>②</w:t>
      </w:r>
      <w:r>
        <w:rPr>
          <w:rFonts w:eastAsia="仿宋_GB2312"/>
          <w:sz w:val="32"/>
          <w:szCs w:val="32"/>
        </w:rPr>
        <w:t>易燃液体火灾事故处置措施</w:t>
      </w:r>
    </w:p>
    <w:p>
      <w:pPr>
        <w:snapToGrid w:val="0"/>
        <w:spacing w:line="560" w:lineRule="exact"/>
        <w:ind w:firstLine="640" w:firstLineChars="200"/>
        <w:rPr>
          <w:rFonts w:eastAsia="仿宋_GB2312"/>
          <w:sz w:val="32"/>
          <w:szCs w:val="32"/>
        </w:rPr>
      </w:pPr>
      <w:r>
        <w:rPr>
          <w:rFonts w:eastAsia="仿宋_GB2312"/>
          <w:sz w:val="32"/>
          <w:szCs w:val="32"/>
        </w:rPr>
        <w:t>1）首先切断火势蔓延的途径，冷却和疏散受火势威胁的密闭容器和可燃物，控制燃烧范围，并积极抢救受伤和被困人员。如有液体流淌时，应筑堤（或用围油栏）拦截漂散流淌的易燃液体或挖沟导流。</w:t>
      </w:r>
    </w:p>
    <w:p>
      <w:pPr>
        <w:snapToGrid w:val="0"/>
        <w:spacing w:line="560" w:lineRule="exact"/>
        <w:ind w:firstLine="640" w:firstLineChars="200"/>
        <w:rPr>
          <w:rFonts w:eastAsia="仿宋_GB2312"/>
          <w:sz w:val="32"/>
          <w:szCs w:val="32"/>
        </w:rPr>
      </w:pPr>
      <w:r>
        <w:rPr>
          <w:rFonts w:eastAsia="仿宋_GB2312"/>
          <w:sz w:val="32"/>
          <w:szCs w:val="32"/>
        </w:rPr>
        <w:t>2）及时了解和掌握着火液体的品名、比重、水溶性以及有无毒害、腐蚀、沸溢、喷溅等危险性，以便采取相应的灭火和防护措施。</w:t>
      </w:r>
    </w:p>
    <w:p>
      <w:pPr>
        <w:snapToGrid w:val="0"/>
        <w:spacing w:line="560" w:lineRule="exact"/>
        <w:ind w:firstLine="640" w:firstLineChars="200"/>
        <w:rPr>
          <w:rFonts w:eastAsia="仿宋_GB2312"/>
          <w:sz w:val="32"/>
          <w:szCs w:val="32"/>
        </w:rPr>
      </w:pPr>
      <w:r>
        <w:rPr>
          <w:rFonts w:eastAsia="仿宋_GB2312"/>
          <w:sz w:val="32"/>
          <w:szCs w:val="32"/>
        </w:rPr>
        <w:t>3）对较大的储罐或流淌火灾，应准确判断着火面积。大面积（＞50m2）液体火灾则必须根据其相对密度（比重）、水溶性和燃烧面积大小，选择正确的灭火剂扑救。</w:t>
      </w:r>
    </w:p>
    <w:p>
      <w:pPr>
        <w:snapToGrid w:val="0"/>
        <w:spacing w:line="560" w:lineRule="exact"/>
        <w:ind w:firstLine="640" w:firstLineChars="200"/>
        <w:rPr>
          <w:rFonts w:eastAsia="仿宋_GB2312"/>
          <w:sz w:val="32"/>
          <w:szCs w:val="32"/>
        </w:rPr>
      </w:pPr>
      <w:r>
        <w:rPr>
          <w:rFonts w:eastAsia="仿宋_GB2312"/>
          <w:sz w:val="32"/>
          <w:szCs w:val="32"/>
        </w:rPr>
        <w:t>对比水轻又不溶于水的液体（如汽油、苯等）可用普通氟蛋白泡沫或轻水泡沫扑灭，用水冷却罐壁。</w:t>
      </w:r>
    </w:p>
    <w:p>
      <w:pPr>
        <w:snapToGrid w:val="0"/>
        <w:spacing w:line="560" w:lineRule="exact"/>
        <w:ind w:firstLine="640" w:firstLineChars="200"/>
        <w:rPr>
          <w:rFonts w:eastAsia="仿宋_GB2312"/>
          <w:sz w:val="32"/>
          <w:szCs w:val="32"/>
        </w:rPr>
      </w:pPr>
      <w:r>
        <w:rPr>
          <w:rFonts w:eastAsia="仿宋_GB2312"/>
          <w:sz w:val="32"/>
          <w:szCs w:val="32"/>
        </w:rPr>
        <w:t>比水重又不溶于水的液体（如二硫化碳）起火时可用水扑救，用泡沫也有效。用干粉扑救、灭火效果要视燃烧面积大小和燃烧条件而定。用水冷却罐壁，降低燃烧强度。</w:t>
      </w:r>
    </w:p>
    <w:p>
      <w:pPr>
        <w:snapToGrid w:val="0"/>
        <w:spacing w:line="560" w:lineRule="exact"/>
        <w:ind w:firstLine="640" w:firstLineChars="200"/>
        <w:rPr>
          <w:rFonts w:eastAsia="仿宋_GB2312"/>
          <w:sz w:val="32"/>
          <w:szCs w:val="32"/>
        </w:rPr>
      </w:pPr>
      <w:r>
        <w:rPr>
          <w:rFonts w:eastAsia="仿宋_GB2312"/>
          <w:sz w:val="32"/>
          <w:szCs w:val="32"/>
        </w:rPr>
        <w:t>具有水溶性的液体（如醇类，酮类等）优先用抗溶性泡沫扑救，用干粉扑救时，灭火效果要视燃烧面积大小和燃烧条件而定。需用水冷却罐壁，降低燃烧强度。</w:t>
      </w:r>
    </w:p>
    <w:p>
      <w:pPr>
        <w:snapToGrid w:val="0"/>
        <w:spacing w:line="560" w:lineRule="exact"/>
        <w:ind w:firstLine="640" w:firstLineChars="200"/>
        <w:rPr>
          <w:rFonts w:eastAsia="仿宋_GB2312"/>
          <w:sz w:val="32"/>
          <w:szCs w:val="32"/>
        </w:rPr>
      </w:pPr>
      <w:r>
        <w:rPr>
          <w:rFonts w:eastAsia="仿宋_GB2312"/>
          <w:sz w:val="32"/>
          <w:szCs w:val="32"/>
        </w:rPr>
        <w:t>4）扑救毒害性、腐蚀性或燃烧产物毒害性较强的易燃液体火灾，扑救人员必须佩戴防护面具，采取防护措施。对特殊物品的火灾，应使用专用防护服。考虑到过滤式防毒面具范围的局限性，在扑救毒害品火灾时必须使用隔离式空气呼吸器。</w:t>
      </w:r>
    </w:p>
    <w:p>
      <w:pPr>
        <w:snapToGrid w:val="0"/>
        <w:spacing w:line="560" w:lineRule="exact"/>
        <w:ind w:firstLine="640" w:firstLineChars="200"/>
        <w:rPr>
          <w:rFonts w:eastAsia="仿宋_GB2312"/>
          <w:sz w:val="32"/>
          <w:szCs w:val="32"/>
        </w:rPr>
      </w:pPr>
      <w:r>
        <w:rPr>
          <w:rFonts w:eastAsia="仿宋_GB2312"/>
          <w:sz w:val="32"/>
          <w:szCs w:val="32"/>
        </w:rPr>
        <w:t>5）扑救闪点不同粘度较大的介质混合物，如原油和重油等具有沸溢和喷溅危险的液体火灾，必须注意可能发生沸溢，喷溅的时间和观察是否有沸溢、喷溢的征兆。一旦现场指挥发现危险征兆时应迅即作出准确判断，及时下达撤退命令，避免造成人员伤亡和装备损失。</w:t>
      </w:r>
    </w:p>
    <w:p>
      <w:pPr>
        <w:snapToGrid w:val="0"/>
        <w:spacing w:line="560" w:lineRule="exact"/>
        <w:ind w:firstLine="640" w:firstLineChars="200"/>
        <w:rPr>
          <w:rFonts w:eastAsia="仿宋_GB2312"/>
          <w:sz w:val="32"/>
          <w:szCs w:val="32"/>
        </w:rPr>
      </w:pPr>
      <w:r>
        <w:rPr>
          <w:rFonts w:eastAsia="仿宋_GB2312"/>
          <w:sz w:val="32"/>
          <w:szCs w:val="32"/>
        </w:rPr>
        <w:t>6）遇易燃液体管道或储罐泄漏着火，在切断蔓延方向并把火势限制在一定范围内的同时，应设法找到输送管道并关闭进、出阀门，如果管道阀门已损坏或储罐泄漏，应迅速准备好堵塞材料，然后先用泡沫、干粉、二氧化碳等扑灭地上的流淌火焰，为堵漏扫清障碍；其次再扑灭泄漏处的火焰，并迅速采取堵漏措施。</w:t>
      </w:r>
    </w:p>
    <w:p>
      <w:pPr>
        <w:snapToGrid w:val="0"/>
        <w:spacing w:line="560" w:lineRule="exact"/>
        <w:ind w:firstLine="640" w:firstLineChars="200"/>
        <w:rPr>
          <w:rFonts w:eastAsia="仿宋_GB2312"/>
          <w:sz w:val="32"/>
          <w:szCs w:val="32"/>
        </w:rPr>
      </w:pPr>
      <w:r>
        <w:rPr>
          <w:rFonts w:hint="eastAsia" w:eastAsia="仿宋_GB2312"/>
          <w:sz w:val="32"/>
          <w:szCs w:val="32"/>
        </w:rPr>
        <w:t>③</w:t>
      </w:r>
      <w:r>
        <w:rPr>
          <w:rFonts w:eastAsia="仿宋_GB2312"/>
          <w:sz w:val="32"/>
          <w:szCs w:val="32"/>
        </w:rPr>
        <w:t>易燃固体、自燃物品及遇湿易燃物品火灾处置措施</w:t>
      </w:r>
    </w:p>
    <w:p>
      <w:pPr>
        <w:snapToGrid w:val="0"/>
        <w:spacing w:line="560" w:lineRule="exact"/>
        <w:ind w:firstLine="640" w:firstLineChars="200"/>
        <w:rPr>
          <w:rFonts w:eastAsia="仿宋_GB2312"/>
          <w:sz w:val="32"/>
          <w:szCs w:val="32"/>
        </w:rPr>
      </w:pPr>
      <w:r>
        <w:rPr>
          <w:rFonts w:eastAsia="仿宋_GB2312"/>
          <w:sz w:val="32"/>
          <w:szCs w:val="32"/>
        </w:rPr>
        <w:t>易燃固体、自燃物品及遇湿易燃物品通常为袋装、桶装的件杂货或采用危险货物集装箱的包装形式。易燃固体、自燃物品发生火灾后通常用水扑灭即可，对于遇湿易燃物品禁止用水或泡沫等湿性灭火剂扑救。遇湿易燃物品火灾处置措施如下：</w:t>
      </w:r>
    </w:p>
    <w:p>
      <w:pPr>
        <w:snapToGrid w:val="0"/>
        <w:spacing w:line="560" w:lineRule="exact"/>
        <w:ind w:firstLine="640" w:firstLineChars="200"/>
        <w:rPr>
          <w:rFonts w:eastAsia="仿宋_GB2312"/>
          <w:sz w:val="32"/>
          <w:szCs w:val="32"/>
        </w:rPr>
      </w:pPr>
      <w:r>
        <w:rPr>
          <w:rFonts w:eastAsia="仿宋_GB2312"/>
          <w:sz w:val="32"/>
          <w:szCs w:val="32"/>
        </w:rPr>
        <w:t>1）如其他物品火灾威胁到相邻的遇湿易燃物品，应将遇湿易燃物品迅速疏散，转移至安全地点。如因遇湿易燃物品较多，一时难以转移，应先用油布或塑料膜等其他防水布将遇湿易燃物品遮盖好，然后再在上面盖上棉被并淋上水。如堆放处地势不太高，可在其周围用土筑一道防水堤。</w:t>
      </w:r>
    </w:p>
    <w:p>
      <w:pPr>
        <w:snapToGrid w:val="0"/>
        <w:spacing w:line="560" w:lineRule="exact"/>
        <w:ind w:firstLine="640" w:firstLineChars="200"/>
        <w:rPr>
          <w:rFonts w:eastAsia="仿宋_GB2312"/>
          <w:sz w:val="32"/>
          <w:szCs w:val="32"/>
        </w:rPr>
      </w:pPr>
      <w:r>
        <w:rPr>
          <w:rFonts w:eastAsia="仿宋_GB2312"/>
          <w:sz w:val="32"/>
          <w:szCs w:val="32"/>
        </w:rPr>
        <w:t>2）如果只有极少量遇湿易燃物品，可用大量的水或泡沫扑救。水或泡沫刚接触着火点时，短时间内可能会使火势增大，但少量遇湿易燃物品燃尽后，火势很快会熄灭或减少。</w:t>
      </w:r>
    </w:p>
    <w:p>
      <w:pPr>
        <w:snapToGrid w:val="0"/>
        <w:spacing w:line="560" w:lineRule="exact"/>
        <w:ind w:firstLine="640" w:firstLineChars="200"/>
        <w:rPr>
          <w:rFonts w:eastAsia="仿宋_GB2312"/>
          <w:sz w:val="32"/>
          <w:szCs w:val="32"/>
        </w:rPr>
      </w:pPr>
      <w:r>
        <w:rPr>
          <w:rFonts w:eastAsia="仿宋_GB2312"/>
          <w:sz w:val="32"/>
          <w:szCs w:val="32"/>
        </w:rPr>
        <w:t>3）如遇湿易燃物品数量较多，且未与其他物品混存，则禁止用水或泡沫等湿性灭火剂扑救。应用干粉、二氧化碳等干性灭火剂扑救（少数物质如金属钾、钠、铝、镁等用二氧化碳灭火无效）。对于固体遇湿易燃物品可用水泥、干砂、干粉、硅藻土和蛭石等覆盖。对镁粉、铝粉等，切忌喷射有压力的灭火剂，以防止将粉尘吹扬起来，与空气形成爆炸性混合物。</w:t>
      </w:r>
    </w:p>
    <w:p>
      <w:pPr>
        <w:snapToGrid w:val="0"/>
        <w:spacing w:line="560" w:lineRule="exact"/>
        <w:ind w:firstLine="640" w:firstLineChars="200"/>
        <w:rPr>
          <w:rFonts w:eastAsia="仿宋_GB2312"/>
          <w:sz w:val="32"/>
          <w:szCs w:val="32"/>
        </w:rPr>
      </w:pPr>
      <w:r>
        <w:rPr>
          <w:rFonts w:hint="eastAsia" w:eastAsia="仿宋_GB2312"/>
          <w:sz w:val="32"/>
          <w:szCs w:val="32"/>
        </w:rPr>
        <w:t>④</w:t>
      </w:r>
      <w:r>
        <w:rPr>
          <w:rFonts w:eastAsia="仿宋_GB2312"/>
          <w:sz w:val="32"/>
          <w:szCs w:val="32"/>
        </w:rPr>
        <w:t>氧化剂及有机过氧化物火灾处置措施</w:t>
      </w:r>
    </w:p>
    <w:p>
      <w:pPr>
        <w:snapToGrid w:val="0"/>
        <w:spacing w:line="560" w:lineRule="exact"/>
        <w:ind w:firstLine="640" w:firstLineChars="200"/>
        <w:rPr>
          <w:rFonts w:eastAsia="仿宋_GB2312"/>
          <w:sz w:val="32"/>
          <w:szCs w:val="32"/>
        </w:rPr>
      </w:pPr>
      <w:r>
        <w:rPr>
          <w:rFonts w:eastAsia="仿宋_GB2312"/>
          <w:sz w:val="32"/>
          <w:szCs w:val="32"/>
        </w:rPr>
        <w:t>氧化剂及有机过氧化物发生火灾事故时，应迅速查明着火或反应的氧化剂和有机过氧化物以及其它燃烧物的品名、数量、主要危险特性、火势蔓延途径、能否用水或泡沫扑救，并注意与可燃物质、易燃物质等禁忌物质的隔离。能用水或泡沫扑救时，应尽一切可能切断火势蔓延，限制燃烧范围，不能用水、泡沫、二氧化碳扑救时，用干粉、或用水泥、干砂覆盖。</w:t>
      </w:r>
    </w:p>
    <w:p>
      <w:pPr>
        <w:snapToGrid w:val="0"/>
        <w:spacing w:line="560" w:lineRule="exact"/>
        <w:ind w:firstLine="640" w:firstLineChars="200"/>
        <w:rPr>
          <w:rFonts w:eastAsia="仿宋_GB2312"/>
          <w:sz w:val="32"/>
          <w:szCs w:val="32"/>
        </w:rPr>
      </w:pPr>
      <w:r>
        <w:rPr>
          <w:rFonts w:hint="eastAsia" w:eastAsia="仿宋_GB2312"/>
          <w:sz w:val="32"/>
          <w:szCs w:val="32"/>
        </w:rPr>
        <w:t>⑤</w:t>
      </w:r>
      <w:r>
        <w:rPr>
          <w:rFonts w:eastAsia="仿宋_GB2312"/>
          <w:sz w:val="32"/>
          <w:szCs w:val="32"/>
        </w:rPr>
        <w:t>船舶发生火灾的注意事项</w:t>
      </w:r>
    </w:p>
    <w:p>
      <w:pPr>
        <w:snapToGrid w:val="0"/>
        <w:spacing w:line="560" w:lineRule="exact"/>
        <w:ind w:firstLine="640" w:firstLineChars="200"/>
        <w:rPr>
          <w:rFonts w:eastAsia="仿宋_GB2312"/>
          <w:sz w:val="32"/>
          <w:szCs w:val="32"/>
        </w:rPr>
      </w:pPr>
      <w:r>
        <w:rPr>
          <w:rFonts w:eastAsia="仿宋_GB2312"/>
          <w:sz w:val="32"/>
          <w:szCs w:val="32"/>
        </w:rPr>
        <w:t>对于船舶发生火灾事故，在针对不同危险货物按上述处置措施进行处置的同时，还应注意以下事项：</w:t>
      </w:r>
    </w:p>
    <w:p>
      <w:pPr>
        <w:snapToGrid w:val="0"/>
        <w:spacing w:line="560" w:lineRule="exact"/>
        <w:ind w:firstLine="640" w:firstLineChars="200"/>
        <w:rPr>
          <w:rFonts w:eastAsia="仿宋_GB2312"/>
          <w:sz w:val="32"/>
          <w:szCs w:val="32"/>
        </w:rPr>
      </w:pPr>
      <w:r>
        <w:rPr>
          <w:rFonts w:eastAsia="仿宋_GB2312"/>
          <w:sz w:val="32"/>
          <w:szCs w:val="32"/>
        </w:rPr>
        <w:t>1）立即停止装卸货，首先抢救遇险人员并向上风转移，或向上风疏散，维护好船上人员的疏散秩序。</w:t>
      </w:r>
    </w:p>
    <w:p>
      <w:pPr>
        <w:snapToGrid w:val="0"/>
        <w:spacing w:line="560" w:lineRule="exact"/>
        <w:ind w:firstLine="640" w:firstLineChars="200"/>
        <w:rPr>
          <w:rFonts w:eastAsia="仿宋_GB2312"/>
          <w:sz w:val="32"/>
          <w:szCs w:val="32"/>
        </w:rPr>
      </w:pPr>
      <w:r>
        <w:rPr>
          <w:rFonts w:eastAsia="仿宋_GB2312"/>
          <w:sz w:val="32"/>
          <w:szCs w:val="32"/>
        </w:rPr>
        <w:t>2）向安全地点或上风疏散周围船舶。</w:t>
      </w:r>
    </w:p>
    <w:p>
      <w:pPr>
        <w:snapToGrid w:val="0"/>
        <w:spacing w:line="560" w:lineRule="exact"/>
        <w:ind w:firstLine="640" w:firstLineChars="200"/>
        <w:rPr>
          <w:rFonts w:eastAsia="仿宋_GB2312"/>
          <w:sz w:val="32"/>
          <w:szCs w:val="32"/>
        </w:rPr>
      </w:pPr>
      <w:r>
        <w:rPr>
          <w:rFonts w:eastAsia="仿宋_GB2312"/>
          <w:sz w:val="32"/>
          <w:szCs w:val="32"/>
        </w:rPr>
        <w:t>3）指挥船舶使起火部位处于下风，要综合考虑下移上漂的影响。</w:t>
      </w:r>
    </w:p>
    <w:p>
      <w:pPr>
        <w:snapToGrid w:val="0"/>
        <w:spacing w:line="560" w:lineRule="exact"/>
        <w:ind w:firstLine="640" w:firstLineChars="200"/>
        <w:rPr>
          <w:rFonts w:eastAsia="仿宋_GB2312"/>
          <w:sz w:val="32"/>
          <w:szCs w:val="32"/>
        </w:rPr>
      </w:pPr>
      <w:r>
        <w:rPr>
          <w:rFonts w:eastAsia="仿宋_GB2312"/>
          <w:sz w:val="32"/>
          <w:szCs w:val="32"/>
        </w:rPr>
        <w:t>4）做好封舱，利用速闭装置关闭应关闭的阀门和天窗，同时利用船上的消防器材灭火，船方要迅速启动消防泵，同时协助消防部门调集消拖两用船。</w:t>
      </w:r>
    </w:p>
    <w:p>
      <w:pPr>
        <w:snapToGrid w:val="0"/>
        <w:spacing w:line="560" w:lineRule="exact"/>
        <w:ind w:firstLine="640" w:firstLineChars="200"/>
        <w:rPr>
          <w:rFonts w:eastAsia="仿宋_GB2312"/>
          <w:sz w:val="32"/>
          <w:szCs w:val="32"/>
        </w:rPr>
      </w:pPr>
      <w:r>
        <w:rPr>
          <w:rFonts w:eastAsia="仿宋_GB2312"/>
          <w:sz w:val="32"/>
          <w:szCs w:val="32"/>
        </w:rPr>
        <w:t>5）施救船舶必须具备良好的防火防爆设备，保障自身安全，尽量从上风靠近。</w:t>
      </w:r>
    </w:p>
    <w:p>
      <w:pPr>
        <w:snapToGrid w:val="0"/>
        <w:spacing w:line="560" w:lineRule="exact"/>
        <w:ind w:firstLine="640" w:firstLineChars="200"/>
        <w:rPr>
          <w:rFonts w:eastAsia="仿宋_GB2312"/>
          <w:sz w:val="32"/>
          <w:szCs w:val="32"/>
        </w:rPr>
      </w:pPr>
      <w:r>
        <w:rPr>
          <w:rFonts w:eastAsia="仿宋_GB2312"/>
          <w:sz w:val="32"/>
          <w:szCs w:val="32"/>
        </w:rPr>
        <w:t>6）必要时实行砍缆，立即拖离码头。</w:t>
      </w:r>
    </w:p>
    <w:p>
      <w:pPr>
        <w:snapToGrid w:val="0"/>
        <w:spacing w:line="560" w:lineRule="exact"/>
        <w:ind w:firstLine="640" w:firstLineChars="200"/>
        <w:rPr>
          <w:rFonts w:eastAsia="仿宋_GB2312"/>
          <w:sz w:val="32"/>
          <w:szCs w:val="32"/>
        </w:rPr>
      </w:pPr>
      <w:r>
        <w:rPr>
          <w:rFonts w:eastAsia="仿宋_GB2312"/>
          <w:sz w:val="32"/>
          <w:szCs w:val="32"/>
        </w:rPr>
        <w:t>（4）爆炸事故现场处置措施</w:t>
      </w:r>
    </w:p>
    <w:p>
      <w:pPr>
        <w:snapToGrid w:val="0"/>
        <w:spacing w:line="560" w:lineRule="exact"/>
        <w:ind w:firstLine="640" w:firstLineChars="200"/>
        <w:rPr>
          <w:rFonts w:eastAsia="仿宋_GB2312"/>
          <w:sz w:val="32"/>
          <w:szCs w:val="32"/>
        </w:rPr>
      </w:pPr>
      <w:r>
        <w:rPr>
          <w:rFonts w:eastAsia="仿宋_GB2312"/>
          <w:sz w:val="32"/>
          <w:szCs w:val="32"/>
        </w:rPr>
        <w:t>危险货物的火灾极易引发爆炸事故，爆炸过后的事故现场往往存在燃烧及浓烟的现象。爆炸的现场往往有人被爆炸物炸伤或热气流灼伤，故爆炸过后首先确认是否有被困人员及其他被困地点及抢救通道，及时发现是否存在二次爆炸的爆炸源，如有尽快清除，如不可消除，尽快组织附近人员疏散。疏散时根据紧急疏散指示牌，立即撤离事故现场，如浓烟围困，可采取低姿势移动，可沾湿衣服毛巾等遮住口鼻，迅速脱险。</w:t>
      </w:r>
    </w:p>
    <w:p>
      <w:pPr>
        <w:snapToGrid w:val="0"/>
        <w:spacing w:line="560" w:lineRule="exact"/>
        <w:ind w:firstLine="640" w:firstLineChars="200"/>
        <w:rPr>
          <w:rFonts w:eastAsia="仿宋_GB2312"/>
          <w:sz w:val="32"/>
          <w:szCs w:val="32"/>
        </w:rPr>
      </w:pPr>
      <w:r>
        <w:rPr>
          <w:rFonts w:eastAsia="仿宋_GB2312"/>
          <w:sz w:val="32"/>
          <w:szCs w:val="32"/>
        </w:rPr>
        <w:t>（5）中毒事故现场应急措施</w:t>
      </w:r>
    </w:p>
    <w:p>
      <w:pPr>
        <w:snapToGrid w:val="0"/>
        <w:spacing w:line="560" w:lineRule="exact"/>
        <w:ind w:firstLine="640" w:firstLineChars="200"/>
        <w:rPr>
          <w:rFonts w:eastAsia="仿宋_GB2312"/>
          <w:sz w:val="32"/>
          <w:szCs w:val="32"/>
        </w:rPr>
      </w:pPr>
      <w:r>
        <w:rPr>
          <w:rFonts w:hint="eastAsia" w:eastAsia="仿宋_GB2312"/>
          <w:sz w:val="32"/>
          <w:szCs w:val="32"/>
        </w:rPr>
        <w:t>①</w:t>
      </w:r>
      <w:r>
        <w:rPr>
          <w:rFonts w:eastAsia="仿宋_GB2312"/>
          <w:sz w:val="32"/>
          <w:szCs w:val="32"/>
        </w:rPr>
        <w:t>医疗救护人员在接到报警后，应根据危险货物的特性、现场状况及中毒病人症状，在自身有良好防护的条件下，立即按现场指挥部指令，开展救护工作。</w:t>
      </w:r>
    </w:p>
    <w:p>
      <w:pPr>
        <w:snapToGrid w:val="0"/>
        <w:spacing w:line="560" w:lineRule="exact"/>
        <w:ind w:firstLine="640" w:firstLineChars="200"/>
        <w:rPr>
          <w:rFonts w:eastAsia="仿宋_GB2312"/>
          <w:sz w:val="32"/>
          <w:szCs w:val="32"/>
        </w:rPr>
      </w:pPr>
      <w:r>
        <w:rPr>
          <w:rFonts w:hint="eastAsia" w:eastAsia="仿宋_GB2312"/>
          <w:sz w:val="32"/>
          <w:szCs w:val="32"/>
        </w:rPr>
        <w:t>②</w:t>
      </w:r>
      <w:r>
        <w:rPr>
          <w:rFonts w:eastAsia="仿宋_GB2312"/>
          <w:sz w:val="32"/>
          <w:szCs w:val="32"/>
        </w:rPr>
        <w:t>在开展危险货物事故救援期间，如现场任何人出现中毒的可疑迹象或症状，应立即停止工作，进行紧急治疗，并视病情需要尽快护送到医院请医生诊治。对于特殊物料，应请专业化工职防所进行医疗监护。</w:t>
      </w:r>
    </w:p>
    <w:p>
      <w:pPr>
        <w:snapToGrid w:val="0"/>
        <w:spacing w:line="560" w:lineRule="exact"/>
        <w:ind w:firstLine="640" w:firstLineChars="200"/>
        <w:rPr>
          <w:rFonts w:eastAsia="仿宋_GB2312"/>
          <w:sz w:val="32"/>
          <w:szCs w:val="32"/>
        </w:rPr>
      </w:pPr>
      <w:r>
        <w:rPr>
          <w:rFonts w:hint="eastAsia" w:eastAsia="仿宋_GB2312"/>
          <w:sz w:val="32"/>
          <w:szCs w:val="32"/>
        </w:rPr>
        <w:t>③</w:t>
      </w:r>
      <w:r>
        <w:rPr>
          <w:rFonts w:eastAsia="仿宋_GB2312"/>
          <w:sz w:val="32"/>
          <w:szCs w:val="32"/>
        </w:rPr>
        <w:t>医疗救护人员在中毒急救时，应按病人接触化学品的中毒途径进行治疗（应急处理）。其要点是：</w:t>
      </w:r>
    </w:p>
    <w:p>
      <w:pPr>
        <w:snapToGrid w:val="0"/>
        <w:spacing w:line="560" w:lineRule="exact"/>
        <w:ind w:firstLine="640" w:firstLineChars="200"/>
        <w:rPr>
          <w:rFonts w:eastAsia="仿宋_GB2312"/>
          <w:sz w:val="32"/>
          <w:szCs w:val="32"/>
        </w:rPr>
      </w:pPr>
      <w:r>
        <w:rPr>
          <w:rFonts w:eastAsia="仿宋_GB2312"/>
          <w:sz w:val="32"/>
          <w:szCs w:val="32"/>
        </w:rPr>
        <w:t>1）若皮肤接触，立即脱去被污染的衣服和鞋，马上用大量的水冲掉皮肤上的化学品，至少冲洗15分钟以上。</w:t>
      </w:r>
    </w:p>
    <w:p>
      <w:pPr>
        <w:snapToGrid w:val="0"/>
        <w:spacing w:line="560" w:lineRule="exact"/>
        <w:ind w:firstLine="640" w:firstLineChars="200"/>
        <w:rPr>
          <w:rFonts w:eastAsia="仿宋_GB2312"/>
          <w:sz w:val="32"/>
          <w:szCs w:val="32"/>
        </w:rPr>
      </w:pPr>
      <w:r>
        <w:rPr>
          <w:rFonts w:eastAsia="仿宋_GB2312"/>
          <w:sz w:val="32"/>
          <w:szCs w:val="32"/>
        </w:rPr>
        <w:t>2）若有化学灼伤情况，按化学灼伤治疗要求进行治疗。</w:t>
      </w:r>
    </w:p>
    <w:p>
      <w:pPr>
        <w:snapToGrid w:val="0"/>
        <w:spacing w:line="560" w:lineRule="exact"/>
        <w:ind w:firstLine="640" w:firstLineChars="200"/>
        <w:rPr>
          <w:rFonts w:eastAsia="仿宋_GB2312"/>
          <w:sz w:val="32"/>
          <w:szCs w:val="32"/>
        </w:rPr>
      </w:pPr>
      <w:r>
        <w:rPr>
          <w:rFonts w:eastAsia="仿宋_GB2312"/>
          <w:sz w:val="32"/>
          <w:szCs w:val="32"/>
        </w:rPr>
        <w:t>3）若眼睛接触化学品，用大量水轻轻冲出眼睛中的化学品，冲洗时眼睛应保持张开，冲洗需彻底，时间15分钟以上，并及时送医院诊治。</w:t>
      </w:r>
    </w:p>
    <w:p>
      <w:pPr>
        <w:snapToGrid w:val="0"/>
        <w:spacing w:line="560" w:lineRule="exact"/>
        <w:ind w:firstLine="640" w:firstLineChars="200"/>
        <w:rPr>
          <w:rFonts w:eastAsia="仿宋_GB2312"/>
          <w:sz w:val="32"/>
          <w:szCs w:val="32"/>
        </w:rPr>
      </w:pPr>
      <w:r>
        <w:rPr>
          <w:rFonts w:eastAsia="仿宋_GB2312"/>
          <w:sz w:val="32"/>
          <w:szCs w:val="32"/>
        </w:rPr>
        <w:t>4）若病人为吸入性中毒，应立即将病人从污染的空气中转移到新鲜空气处，采取人工呼吸、心脏按摩等措施，并及时送医院诊治。抢救时抢救人员应配戴自给式呼吸器。</w:t>
      </w:r>
    </w:p>
    <w:p>
      <w:pPr>
        <w:snapToGrid w:val="0"/>
        <w:spacing w:line="560" w:lineRule="exact"/>
        <w:ind w:firstLine="640" w:firstLineChars="200"/>
        <w:rPr>
          <w:rFonts w:eastAsia="仿宋_GB2312"/>
          <w:sz w:val="32"/>
          <w:szCs w:val="32"/>
        </w:rPr>
      </w:pPr>
      <w:r>
        <w:rPr>
          <w:rFonts w:eastAsia="仿宋_GB2312"/>
          <w:sz w:val="32"/>
          <w:szCs w:val="32"/>
        </w:rPr>
        <w:t>5）若病人为摄入中毒，视摄入化学品是否为腐蚀品决定是否可采用催吐法。</w:t>
      </w:r>
    </w:p>
    <w:p>
      <w:pPr>
        <w:snapToGrid w:val="0"/>
        <w:spacing w:line="560" w:lineRule="exact"/>
        <w:ind w:firstLine="640" w:firstLineChars="200"/>
        <w:rPr>
          <w:rFonts w:eastAsia="仿宋_GB2312"/>
          <w:sz w:val="32"/>
          <w:szCs w:val="32"/>
        </w:rPr>
      </w:pPr>
      <w:r>
        <w:rPr>
          <w:rFonts w:eastAsia="仿宋_GB2312"/>
          <w:sz w:val="32"/>
          <w:szCs w:val="32"/>
        </w:rPr>
        <w:t>6）神志不清时，不要给病人口服任何东西，如无呼吸，予以人工呼吸，并及时送医院医治。在所有情况下，应使其保暖直至复原。</w:t>
      </w:r>
    </w:p>
    <w:p>
      <w:pPr>
        <w:snapToGrid w:val="0"/>
        <w:spacing w:line="560" w:lineRule="exact"/>
        <w:ind w:firstLine="640" w:firstLineChars="200"/>
        <w:rPr>
          <w:rFonts w:eastAsia="仿宋_GB2312"/>
          <w:sz w:val="32"/>
          <w:szCs w:val="32"/>
        </w:rPr>
      </w:pPr>
      <w:r>
        <w:rPr>
          <w:rFonts w:eastAsia="仿宋_GB2312"/>
          <w:sz w:val="32"/>
          <w:szCs w:val="32"/>
        </w:rPr>
        <w:t>（6）灼烫事故现场应急措施</w:t>
      </w:r>
    </w:p>
    <w:p>
      <w:pPr>
        <w:snapToGrid w:val="0"/>
        <w:spacing w:line="560" w:lineRule="exact"/>
        <w:ind w:firstLine="640" w:firstLineChars="200"/>
        <w:rPr>
          <w:rFonts w:eastAsia="仿宋_GB2312"/>
          <w:sz w:val="32"/>
          <w:szCs w:val="32"/>
        </w:rPr>
      </w:pPr>
      <w:r>
        <w:rPr>
          <w:rFonts w:hint="eastAsia" w:eastAsia="仿宋_GB2312"/>
          <w:sz w:val="32"/>
          <w:szCs w:val="32"/>
        </w:rPr>
        <w:t>①</w:t>
      </w:r>
      <w:r>
        <w:rPr>
          <w:rFonts w:eastAsia="仿宋_GB2312"/>
          <w:sz w:val="32"/>
          <w:szCs w:val="32"/>
        </w:rPr>
        <w:t>化学性皮肤烧伤</w:t>
      </w:r>
    </w:p>
    <w:p>
      <w:pPr>
        <w:snapToGrid w:val="0"/>
        <w:spacing w:line="560" w:lineRule="exact"/>
        <w:ind w:firstLine="640" w:firstLineChars="200"/>
        <w:rPr>
          <w:rFonts w:eastAsia="仿宋_GB2312"/>
          <w:sz w:val="32"/>
          <w:szCs w:val="32"/>
        </w:rPr>
      </w:pPr>
      <w:r>
        <w:rPr>
          <w:rFonts w:eastAsia="仿宋_GB2312"/>
          <w:sz w:val="32"/>
          <w:szCs w:val="32"/>
        </w:rPr>
        <w:t>1）立即将伤员移离现场，迅速脱去被化学物沾染的衣裤、鞋袜等。</w:t>
      </w:r>
    </w:p>
    <w:p>
      <w:pPr>
        <w:snapToGrid w:val="0"/>
        <w:spacing w:line="560" w:lineRule="exact"/>
        <w:ind w:firstLine="640" w:firstLineChars="200"/>
        <w:rPr>
          <w:rFonts w:eastAsia="仿宋_GB2312"/>
          <w:sz w:val="32"/>
          <w:szCs w:val="32"/>
        </w:rPr>
      </w:pPr>
      <w:r>
        <w:rPr>
          <w:rFonts w:eastAsia="仿宋_GB2312"/>
          <w:sz w:val="32"/>
          <w:szCs w:val="32"/>
        </w:rPr>
        <w:t>2）无论酸、碱或其他化学物烧伤，立即用大量流动自来水或清水冲洗创面15～30分钟。</w:t>
      </w:r>
    </w:p>
    <w:p>
      <w:pPr>
        <w:snapToGrid w:val="0"/>
        <w:spacing w:line="560" w:lineRule="exact"/>
        <w:ind w:firstLine="640" w:firstLineChars="200"/>
        <w:rPr>
          <w:rFonts w:eastAsia="仿宋_GB2312"/>
          <w:sz w:val="32"/>
          <w:szCs w:val="32"/>
        </w:rPr>
      </w:pPr>
      <w:r>
        <w:rPr>
          <w:rFonts w:eastAsia="仿宋_GB2312"/>
          <w:sz w:val="32"/>
          <w:szCs w:val="32"/>
        </w:rPr>
        <w:t>3）新鲜的创面上不要任意涂上油膏或红药水，不用脏布包裹。</w:t>
      </w:r>
    </w:p>
    <w:p>
      <w:pPr>
        <w:snapToGrid w:val="0"/>
        <w:spacing w:line="560" w:lineRule="exact"/>
        <w:ind w:firstLine="640" w:firstLineChars="200"/>
        <w:rPr>
          <w:rFonts w:eastAsia="仿宋_GB2312"/>
          <w:sz w:val="32"/>
          <w:szCs w:val="32"/>
        </w:rPr>
      </w:pPr>
      <w:r>
        <w:rPr>
          <w:rFonts w:eastAsia="仿宋_GB2312"/>
          <w:sz w:val="32"/>
          <w:szCs w:val="32"/>
        </w:rPr>
        <w:t>4）黄磷烧伤时应用大量水冲洗、浸泡或用多层湿布覆盖创面。</w:t>
      </w:r>
    </w:p>
    <w:p>
      <w:pPr>
        <w:snapToGrid w:val="0"/>
        <w:spacing w:line="560" w:lineRule="exact"/>
        <w:ind w:firstLine="640" w:firstLineChars="200"/>
        <w:rPr>
          <w:rFonts w:eastAsia="仿宋_GB2312"/>
          <w:sz w:val="32"/>
          <w:szCs w:val="32"/>
        </w:rPr>
      </w:pPr>
      <w:r>
        <w:rPr>
          <w:rFonts w:eastAsia="仿宋_GB2312"/>
          <w:sz w:val="32"/>
          <w:szCs w:val="32"/>
        </w:rPr>
        <w:t>5）烧伤的同时，往往合并骨折、出血等外伤，在现场也应及时处理。</w:t>
      </w:r>
    </w:p>
    <w:p>
      <w:pPr>
        <w:snapToGrid w:val="0"/>
        <w:spacing w:line="560" w:lineRule="exact"/>
        <w:ind w:firstLine="640" w:firstLineChars="200"/>
        <w:rPr>
          <w:rFonts w:eastAsia="仿宋_GB2312"/>
          <w:sz w:val="32"/>
          <w:szCs w:val="32"/>
        </w:rPr>
      </w:pPr>
      <w:r>
        <w:rPr>
          <w:rFonts w:eastAsia="仿宋_GB2312"/>
          <w:sz w:val="32"/>
          <w:szCs w:val="32"/>
        </w:rPr>
        <w:t>6）烧伤病人应及时送往医院。</w:t>
      </w:r>
    </w:p>
    <w:p>
      <w:pPr>
        <w:snapToGrid w:val="0"/>
        <w:spacing w:line="560" w:lineRule="exact"/>
        <w:ind w:firstLine="640" w:firstLineChars="200"/>
        <w:rPr>
          <w:rFonts w:eastAsia="仿宋_GB2312"/>
          <w:sz w:val="32"/>
          <w:szCs w:val="32"/>
        </w:rPr>
      </w:pPr>
      <w:r>
        <w:rPr>
          <w:rFonts w:hint="eastAsia" w:eastAsia="仿宋_GB2312"/>
          <w:sz w:val="32"/>
          <w:szCs w:val="32"/>
        </w:rPr>
        <w:t>②</w:t>
      </w:r>
      <w:r>
        <w:rPr>
          <w:rFonts w:eastAsia="仿宋_GB2312"/>
          <w:sz w:val="32"/>
          <w:szCs w:val="32"/>
        </w:rPr>
        <w:t>化学性眼烧伤</w:t>
      </w:r>
    </w:p>
    <w:p>
      <w:pPr>
        <w:snapToGrid w:val="0"/>
        <w:spacing w:line="560" w:lineRule="exact"/>
        <w:ind w:firstLine="640" w:firstLineChars="200"/>
        <w:rPr>
          <w:rFonts w:eastAsia="仿宋_GB2312"/>
          <w:sz w:val="32"/>
          <w:szCs w:val="32"/>
        </w:rPr>
      </w:pPr>
      <w:r>
        <w:rPr>
          <w:rFonts w:eastAsia="仿宋_GB2312"/>
          <w:sz w:val="32"/>
          <w:szCs w:val="32"/>
        </w:rPr>
        <w:t>1）迅速在现场用流动清水冲洗，千万不要未经处理而急于送医院，冲洗时掰开眼皮。如无冲洗设备，也可把头部埋入清洁盆水中，把眼皮掰开。眼球来回转动洗涤。</w:t>
      </w:r>
    </w:p>
    <w:p>
      <w:pPr>
        <w:snapToGrid w:val="0"/>
        <w:spacing w:line="560" w:lineRule="exact"/>
        <w:ind w:firstLine="640" w:firstLineChars="200"/>
        <w:rPr>
          <w:rFonts w:eastAsia="仿宋_GB2312"/>
          <w:sz w:val="32"/>
          <w:szCs w:val="32"/>
        </w:rPr>
      </w:pPr>
      <w:r>
        <w:rPr>
          <w:rFonts w:eastAsia="仿宋_GB2312"/>
          <w:sz w:val="32"/>
          <w:szCs w:val="32"/>
        </w:rPr>
        <w:t>2）如电石（碳化钙），生石灰（氧化钙）颗粒溅入眼内，应先用蘸石蜡油或植物油的棉签去除颗粒后，再用水冲洗。</w:t>
      </w:r>
    </w:p>
    <w:p>
      <w:pPr>
        <w:snapToGrid w:val="0"/>
        <w:spacing w:line="560" w:lineRule="exact"/>
        <w:ind w:firstLine="640" w:firstLineChars="200"/>
        <w:rPr>
          <w:rFonts w:eastAsia="仿宋_GB2312"/>
          <w:sz w:val="32"/>
          <w:szCs w:val="32"/>
        </w:rPr>
      </w:pPr>
      <w:r>
        <w:rPr>
          <w:rFonts w:eastAsia="仿宋_GB2312"/>
          <w:sz w:val="32"/>
          <w:szCs w:val="32"/>
        </w:rPr>
        <w:t>（7）码头坍塌事故现场处置措施</w:t>
      </w:r>
    </w:p>
    <w:p>
      <w:pPr>
        <w:snapToGrid w:val="0"/>
        <w:spacing w:line="560" w:lineRule="exact"/>
        <w:ind w:firstLine="640" w:firstLineChars="200"/>
        <w:rPr>
          <w:rFonts w:eastAsia="仿宋_GB2312"/>
          <w:sz w:val="32"/>
          <w:szCs w:val="32"/>
        </w:rPr>
      </w:pPr>
      <w:r>
        <w:rPr>
          <w:rFonts w:eastAsia="仿宋_GB2312"/>
          <w:sz w:val="32"/>
          <w:szCs w:val="32"/>
        </w:rPr>
        <w:t>码头上发生危险货物事故并且码头有坍塌可能性时应采取如下措施：</w:t>
      </w:r>
    </w:p>
    <w:p>
      <w:pPr>
        <w:snapToGrid w:val="0"/>
        <w:spacing w:line="560" w:lineRule="exact"/>
        <w:ind w:firstLine="640" w:firstLineChars="200"/>
        <w:rPr>
          <w:rFonts w:eastAsia="仿宋_GB2312"/>
          <w:sz w:val="32"/>
          <w:szCs w:val="32"/>
        </w:rPr>
      </w:pPr>
      <w:r>
        <w:rPr>
          <w:rFonts w:hint="eastAsia" w:eastAsia="仿宋_GB2312"/>
          <w:sz w:val="32"/>
          <w:szCs w:val="32"/>
        </w:rPr>
        <w:t>①</w:t>
      </w:r>
      <w:r>
        <w:rPr>
          <w:rFonts w:eastAsia="仿宋_GB2312"/>
          <w:sz w:val="32"/>
          <w:szCs w:val="32"/>
        </w:rPr>
        <w:t>立即停止作业并紧急疏散码头人员。</w:t>
      </w:r>
    </w:p>
    <w:p>
      <w:pPr>
        <w:snapToGrid w:val="0"/>
        <w:spacing w:line="560" w:lineRule="exact"/>
        <w:ind w:firstLine="640" w:firstLineChars="200"/>
        <w:rPr>
          <w:rFonts w:eastAsia="仿宋_GB2312"/>
          <w:sz w:val="32"/>
          <w:szCs w:val="32"/>
        </w:rPr>
      </w:pPr>
      <w:r>
        <w:rPr>
          <w:rFonts w:hint="eastAsia" w:eastAsia="仿宋_GB2312"/>
          <w:sz w:val="32"/>
          <w:szCs w:val="32"/>
        </w:rPr>
        <w:t>②</w:t>
      </w:r>
      <w:r>
        <w:rPr>
          <w:rFonts w:eastAsia="仿宋_GB2312"/>
          <w:sz w:val="32"/>
          <w:szCs w:val="32"/>
        </w:rPr>
        <w:t>将码头上船舶强制性脱离危险区域，尽量靠航道边缘或安全区域搁滩。</w:t>
      </w:r>
    </w:p>
    <w:p>
      <w:pPr>
        <w:snapToGrid w:val="0"/>
        <w:spacing w:line="560" w:lineRule="exact"/>
        <w:ind w:firstLine="640" w:firstLineChars="200"/>
        <w:rPr>
          <w:rFonts w:eastAsia="仿宋_GB2312"/>
          <w:sz w:val="32"/>
          <w:szCs w:val="32"/>
        </w:rPr>
      </w:pPr>
      <w:r>
        <w:rPr>
          <w:rFonts w:hint="eastAsia" w:eastAsia="仿宋_GB2312"/>
          <w:sz w:val="32"/>
          <w:szCs w:val="32"/>
        </w:rPr>
        <w:t>③</w:t>
      </w:r>
      <w:r>
        <w:rPr>
          <w:rFonts w:eastAsia="仿宋_GB2312"/>
          <w:sz w:val="32"/>
          <w:szCs w:val="32"/>
        </w:rPr>
        <w:t>立即关闭通向码头管道的紧急切断阀以及罐区阀门。</w:t>
      </w:r>
    </w:p>
    <w:p>
      <w:pPr>
        <w:snapToGrid w:val="0"/>
        <w:spacing w:line="560" w:lineRule="exact"/>
        <w:ind w:firstLine="640" w:firstLineChars="200"/>
        <w:rPr>
          <w:rFonts w:eastAsia="仿宋_GB2312"/>
          <w:sz w:val="32"/>
          <w:szCs w:val="32"/>
        </w:rPr>
      </w:pPr>
      <w:r>
        <w:rPr>
          <w:rFonts w:hint="eastAsia" w:eastAsia="仿宋_GB2312"/>
          <w:sz w:val="32"/>
          <w:szCs w:val="32"/>
        </w:rPr>
        <w:t>④</w:t>
      </w:r>
      <w:r>
        <w:rPr>
          <w:rFonts w:eastAsia="仿宋_GB2312"/>
          <w:sz w:val="32"/>
          <w:szCs w:val="32"/>
        </w:rPr>
        <w:t>如有人员落水，立即通知水上搜救中心，并启动相应预案。</w:t>
      </w:r>
    </w:p>
    <w:p>
      <w:pPr>
        <w:snapToGrid w:val="0"/>
        <w:spacing w:line="560" w:lineRule="exact"/>
        <w:ind w:firstLine="640" w:firstLineChars="200"/>
        <w:rPr>
          <w:rFonts w:eastAsia="仿宋_GB2312"/>
          <w:sz w:val="32"/>
          <w:szCs w:val="32"/>
        </w:rPr>
      </w:pPr>
      <w:r>
        <w:rPr>
          <w:rFonts w:eastAsia="仿宋_GB2312"/>
          <w:sz w:val="32"/>
          <w:szCs w:val="32"/>
        </w:rPr>
        <w:t>5.6.3事故救援协助点</w:t>
      </w:r>
    </w:p>
    <w:p>
      <w:pPr>
        <w:snapToGrid w:val="0"/>
        <w:spacing w:line="560" w:lineRule="exact"/>
        <w:ind w:firstLine="640" w:firstLineChars="200"/>
        <w:rPr>
          <w:rFonts w:eastAsia="仿宋_GB2312"/>
          <w:sz w:val="32"/>
          <w:szCs w:val="32"/>
        </w:rPr>
      </w:pPr>
      <w:r>
        <w:rPr>
          <w:rFonts w:eastAsia="仿宋_GB2312"/>
          <w:sz w:val="32"/>
          <w:szCs w:val="32"/>
        </w:rPr>
        <w:t>根据港口应急设施及危险货物基本状况，将港辖区地域划分为3个片区，并确定片区5个主要互相救援协助单位，具体见表5-1。</w:t>
      </w:r>
    </w:p>
    <w:p>
      <w:pPr>
        <w:pStyle w:val="4"/>
        <w:kinsoku w:val="0"/>
        <w:overflowPunct w:val="0"/>
        <w:snapToGrid w:val="0"/>
        <w:spacing w:line="440" w:lineRule="atLeast"/>
        <w:ind w:left="0" w:firstLine="0"/>
        <w:jc w:val="center"/>
        <w:rPr>
          <w:rFonts w:ascii="Times New Roman" w:eastAsia="楷体"/>
          <w:spacing w:val="-1"/>
        </w:rPr>
      </w:pPr>
      <w:r>
        <w:rPr>
          <w:rFonts w:ascii="Times New Roman" w:eastAsia="楷体"/>
          <w:spacing w:val="-1"/>
        </w:rPr>
        <w:t>表5-1 南京港主要互相救援协助单位</w:t>
      </w:r>
    </w:p>
    <w:tbl>
      <w:tblPr>
        <w:tblStyle w:val="8"/>
        <w:tblW w:w="490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461"/>
        <w:gridCol w:w="2966"/>
        <w:gridCol w:w="2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780" w:type="pct"/>
            <w:noWrap w:val="0"/>
            <w:vAlign w:val="center"/>
          </w:tcPr>
          <w:p>
            <w:pPr>
              <w:pStyle w:val="10"/>
              <w:widowControl/>
              <w:kinsoku w:val="0"/>
              <w:overflowPunct w:val="0"/>
              <w:snapToGrid w:val="0"/>
              <w:jc w:val="center"/>
              <w:rPr>
                <w:rFonts w:eastAsia="宋体"/>
                <w:b/>
                <w:bCs/>
                <w:spacing w:val="-1"/>
                <w:sz w:val="22"/>
                <w:szCs w:val="22"/>
              </w:rPr>
            </w:pPr>
            <w:r>
              <w:rPr>
                <w:b/>
                <w:bCs/>
                <w:spacing w:val="-1"/>
                <w:sz w:val="22"/>
                <w:szCs w:val="22"/>
              </w:rPr>
              <w:t>片区</w:t>
            </w:r>
          </w:p>
        </w:tc>
        <w:tc>
          <w:tcPr>
            <w:tcW w:w="1349" w:type="pct"/>
            <w:noWrap w:val="0"/>
            <w:vAlign w:val="center"/>
          </w:tcPr>
          <w:p>
            <w:pPr>
              <w:pStyle w:val="10"/>
              <w:widowControl/>
              <w:kinsoku w:val="0"/>
              <w:overflowPunct w:val="0"/>
              <w:snapToGrid w:val="0"/>
              <w:jc w:val="center"/>
              <w:rPr>
                <w:b/>
                <w:bCs/>
                <w:spacing w:val="-1"/>
                <w:sz w:val="22"/>
                <w:szCs w:val="22"/>
              </w:rPr>
            </w:pPr>
            <w:r>
              <w:rPr>
                <w:b/>
                <w:bCs/>
                <w:spacing w:val="-1"/>
                <w:sz w:val="22"/>
                <w:szCs w:val="22"/>
              </w:rPr>
              <w:t>地域范围</w:t>
            </w:r>
          </w:p>
        </w:tc>
        <w:tc>
          <w:tcPr>
            <w:tcW w:w="1626" w:type="pct"/>
            <w:noWrap w:val="0"/>
            <w:vAlign w:val="center"/>
          </w:tcPr>
          <w:p>
            <w:pPr>
              <w:pStyle w:val="10"/>
              <w:widowControl/>
              <w:kinsoku w:val="0"/>
              <w:overflowPunct w:val="0"/>
              <w:snapToGrid w:val="0"/>
              <w:jc w:val="center"/>
              <w:rPr>
                <w:b/>
                <w:bCs/>
                <w:spacing w:val="-1"/>
                <w:sz w:val="22"/>
                <w:szCs w:val="22"/>
              </w:rPr>
            </w:pPr>
            <w:r>
              <w:rPr>
                <w:b/>
                <w:bCs/>
                <w:spacing w:val="-1"/>
                <w:sz w:val="22"/>
                <w:szCs w:val="22"/>
              </w:rPr>
              <w:t>主要协助单位</w:t>
            </w:r>
          </w:p>
        </w:tc>
        <w:tc>
          <w:tcPr>
            <w:tcW w:w="1243" w:type="pct"/>
            <w:noWrap w:val="0"/>
            <w:vAlign w:val="center"/>
          </w:tcPr>
          <w:p>
            <w:pPr>
              <w:pStyle w:val="10"/>
              <w:widowControl/>
              <w:kinsoku w:val="0"/>
              <w:overflowPunct w:val="0"/>
              <w:snapToGrid w:val="0"/>
              <w:jc w:val="center"/>
              <w:rPr>
                <w:b/>
                <w:bCs/>
                <w:spacing w:val="-1"/>
                <w:sz w:val="22"/>
                <w:szCs w:val="22"/>
              </w:rPr>
            </w:pPr>
            <w:r>
              <w:rPr>
                <w:b/>
                <w:bCs/>
                <w:spacing w:val="-1"/>
                <w:sz w:val="22"/>
                <w:szCs w:val="22"/>
              </w:rPr>
              <w:t>联络电话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80"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全域</w:t>
            </w:r>
          </w:p>
        </w:tc>
        <w:tc>
          <w:tcPr>
            <w:tcW w:w="1349"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长江南京全线</w:t>
            </w:r>
          </w:p>
        </w:tc>
        <w:tc>
          <w:tcPr>
            <w:tcW w:w="1626"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南京港集团</w:t>
            </w:r>
          </w:p>
        </w:tc>
        <w:tc>
          <w:tcPr>
            <w:tcW w:w="1243"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025—58582713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80"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上游片</w:t>
            </w:r>
          </w:p>
        </w:tc>
        <w:tc>
          <w:tcPr>
            <w:tcW w:w="1349"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长江大桥上游段</w:t>
            </w:r>
          </w:p>
        </w:tc>
        <w:tc>
          <w:tcPr>
            <w:tcW w:w="1626"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梅山钢铁股份有限公司</w:t>
            </w:r>
          </w:p>
        </w:tc>
        <w:tc>
          <w:tcPr>
            <w:tcW w:w="1243"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025—86364214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780"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下游南片</w:t>
            </w:r>
          </w:p>
        </w:tc>
        <w:tc>
          <w:tcPr>
            <w:tcW w:w="1349"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长江大桥下游南岸</w:t>
            </w:r>
          </w:p>
        </w:tc>
        <w:tc>
          <w:tcPr>
            <w:tcW w:w="1626"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中石化股份有限公司金陵分公司</w:t>
            </w:r>
          </w:p>
        </w:tc>
        <w:tc>
          <w:tcPr>
            <w:tcW w:w="1243"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025—58984416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780" w:type="pct"/>
            <w:vMerge w:val="restar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下游北片</w:t>
            </w:r>
          </w:p>
        </w:tc>
        <w:tc>
          <w:tcPr>
            <w:tcW w:w="1349" w:type="pct"/>
            <w:vMerge w:val="restar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长江大桥下游北岸</w:t>
            </w:r>
          </w:p>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（南京河段）</w:t>
            </w:r>
          </w:p>
        </w:tc>
        <w:tc>
          <w:tcPr>
            <w:tcW w:w="1626"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中石化扬子石油化工有限公司</w:t>
            </w:r>
          </w:p>
        </w:tc>
        <w:tc>
          <w:tcPr>
            <w:tcW w:w="1243"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025—57782200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0" w:type="auto"/>
            <w:vMerge w:val="continue"/>
            <w:noWrap w:val="0"/>
            <w:vAlign w:val="center"/>
          </w:tcPr>
          <w:p>
            <w:pPr>
              <w:pStyle w:val="10"/>
              <w:widowControl/>
              <w:kinsoku w:val="0"/>
              <w:overflowPunct w:val="0"/>
              <w:snapToGrid w:val="0"/>
              <w:jc w:val="center"/>
              <w:rPr>
                <w:rFonts w:eastAsia="方正仿宋_GBK"/>
                <w:bCs/>
                <w:spacing w:val="-1"/>
                <w:sz w:val="22"/>
                <w:szCs w:val="22"/>
              </w:rPr>
            </w:pPr>
          </w:p>
        </w:tc>
        <w:tc>
          <w:tcPr>
            <w:tcW w:w="1349" w:type="pct"/>
            <w:vMerge w:val="continue"/>
            <w:noWrap w:val="0"/>
            <w:vAlign w:val="center"/>
          </w:tcPr>
          <w:p>
            <w:pPr>
              <w:pStyle w:val="10"/>
              <w:widowControl/>
              <w:kinsoku w:val="0"/>
              <w:overflowPunct w:val="0"/>
              <w:snapToGrid w:val="0"/>
              <w:jc w:val="center"/>
              <w:rPr>
                <w:rFonts w:eastAsia="方正仿宋_GBK"/>
                <w:bCs/>
                <w:spacing w:val="-1"/>
                <w:sz w:val="22"/>
                <w:szCs w:val="22"/>
              </w:rPr>
            </w:pPr>
          </w:p>
        </w:tc>
        <w:tc>
          <w:tcPr>
            <w:tcW w:w="1626"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扬子—巴斯夫有限责任公司</w:t>
            </w:r>
          </w:p>
        </w:tc>
        <w:tc>
          <w:tcPr>
            <w:tcW w:w="1243" w:type="pct"/>
            <w:noWrap w:val="0"/>
            <w:vAlign w:val="center"/>
          </w:tcPr>
          <w:p>
            <w:pPr>
              <w:pStyle w:val="10"/>
              <w:widowControl/>
              <w:kinsoku w:val="0"/>
              <w:overflowPunct w:val="0"/>
              <w:snapToGrid w:val="0"/>
              <w:jc w:val="center"/>
              <w:rPr>
                <w:rFonts w:eastAsia="方正仿宋_GBK"/>
                <w:bCs/>
                <w:spacing w:val="-1"/>
                <w:sz w:val="22"/>
                <w:szCs w:val="22"/>
              </w:rPr>
            </w:pPr>
            <w:r>
              <w:rPr>
                <w:rFonts w:eastAsia="方正仿宋_GBK"/>
                <w:bCs/>
                <w:spacing w:val="-1"/>
                <w:sz w:val="22"/>
                <w:szCs w:val="22"/>
              </w:rPr>
              <w:t>025—58569012</w:t>
            </w:r>
          </w:p>
        </w:tc>
      </w:tr>
    </w:tbl>
    <w:p>
      <w:pPr>
        <w:pStyle w:val="3"/>
        <w:snapToGrid w:val="0"/>
        <w:spacing w:line="560" w:lineRule="atLeast"/>
        <w:ind w:firstLine="640" w:firstLineChars="200"/>
        <w:rPr>
          <w:rFonts w:eastAsia="楷体"/>
          <w:b w:val="0"/>
          <w:bCs w:val="0"/>
          <w:sz w:val="32"/>
        </w:rPr>
      </w:pPr>
      <w:bookmarkStart w:id="38" w:name="_Toc121478035"/>
      <w:r>
        <w:rPr>
          <w:rFonts w:eastAsia="楷体"/>
          <w:b w:val="0"/>
          <w:bCs w:val="0"/>
          <w:sz w:val="32"/>
        </w:rPr>
        <w:t>5.7扩大应急</w:t>
      </w:r>
      <w:bookmarkEnd w:id="38"/>
    </w:p>
    <w:p>
      <w:pPr>
        <w:snapToGrid w:val="0"/>
        <w:spacing w:line="560" w:lineRule="exact"/>
        <w:ind w:firstLine="640" w:firstLineChars="200"/>
        <w:rPr>
          <w:rFonts w:eastAsia="仿宋_GB2312"/>
          <w:sz w:val="32"/>
          <w:szCs w:val="32"/>
        </w:rPr>
      </w:pPr>
      <w:r>
        <w:rPr>
          <w:rFonts w:eastAsia="仿宋_GB2312"/>
          <w:sz w:val="32"/>
          <w:szCs w:val="32"/>
        </w:rPr>
        <w:t>（1）如发现突发事件超过Ⅳ级或有扩大升级的可能，市交通运输局应立即向市政府报告，建议启动相应应急预案，在上级应急指挥机构启动相应预案后移交指挥权并服从指挥，协助和配合其开展应急救援工作。</w:t>
      </w:r>
    </w:p>
    <w:p>
      <w:pPr>
        <w:snapToGrid w:val="0"/>
        <w:spacing w:line="560" w:lineRule="exact"/>
        <w:ind w:firstLine="640" w:firstLineChars="200"/>
        <w:rPr>
          <w:rFonts w:eastAsia="仿宋_GB2312"/>
          <w:sz w:val="32"/>
          <w:szCs w:val="32"/>
        </w:rPr>
      </w:pPr>
      <w:r>
        <w:rPr>
          <w:rFonts w:eastAsia="仿宋_GB2312"/>
          <w:sz w:val="32"/>
          <w:szCs w:val="32"/>
        </w:rPr>
        <w:t>（2）如发生次生、衍生突发事故需启动市其他突发事故应急预案时，报请市政府组织对口部门成立其他突发事故应急指挥部进行响应。</w:t>
      </w:r>
    </w:p>
    <w:p>
      <w:pPr>
        <w:pStyle w:val="3"/>
        <w:snapToGrid w:val="0"/>
        <w:spacing w:line="560" w:lineRule="atLeast"/>
        <w:ind w:firstLine="640" w:firstLineChars="200"/>
        <w:rPr>
          <w:rFonts w:eastAsia="楷体"/>
          <w:b w:val="0"/>
          <w:bCs w:val="0"/>
          <w:sz w:val="32"/>
        </w:rPr>
      </w:pPr>
      <w:bookmarkStart w:id="39" w:name="_Toc121478036"/>
      <w:r>
        <w:rPr>
          <w:rFonts w:eastAsia="楷体"/>
          <w:b w:val="0"/>
          <w:bCs w:val="0"/>
          <w:sz w:val="32"/>
        </w:rPr>
        <w:t>5.8安全防护</w:t>
      </w:r>
      <w:bookmarkEnd w:id="39"/>
    </w:p>
    <w:p>
      <w:pPr>
        <w:snapToGrid w:val="0"/>
        <w:spacing w:line="560" w:lineRule="exact"/>
        <w:ind w:firstLine="640" w:firstLineChars="200"/>
        <w:rPr>
          <w:rFonts w:eastAsia="仿宋_GB2312"/>
          <w:sz w:val="32"/>
          <w:szCs w:val="32"/>
        </w:rPr>
      </w:pPr>
      <w:r>
        <w:rPr>
          <w:rFonts w:eastAsia="仿宋_GB2312"/>
          <w:sz w:val="32"/>
          <w:szCs w:val="32"/>
        </w:rPr>
        <w:t>应急救援人员在接近危险区域或有潜在危险的区域时，必须做好充分的防护准备，经现场指挥部同意方可进入现场，并严格按安全防护要求和相关操作规程进行处置。</w:t>
      </w:r>
    </w:p>
    <w:p>
      <w:pPr>
        <w:snapToGrid w:val="0"/>
        <w:spacing w:line="560" w:lineRule="exact"/>
        <w:ind w:firstLine="640" w:firstLineChars="200"/>
        <w:rPr>
          <w:rFonts w:eastAsia="仿宋_GB2312"/>
          <w:sz w:val="32"/>
          <w:szCs w:val="32"/>
        </w:rPr>
      </w:pPr>
      <w:r>
        <w:rPr>
          <w:rFonts w:eastAsia="仿宋_GB2312"/>
          <w:sz w:val="32"/>
          <w:szCs w:val="32"/>
        </w:rPr>
        <w:t>现场指挥部要密切监视险情，做好受到突发事件威胁人员的疏散撤离工作。如果需要大规模疏散人员，应确定撤离路径及交通工具、疏散目的地的接纳条件、通知撤离方式，告诉有关人员自身保护的注意事项或预防措施，及时公开相关信息，保持社会秩序及公众情绪稳定。</w:t>
      </w:r>
    </w:p>
    <w:p>
      <w:pPr>
        <w:pStyle w:val="3"/>
        <w:snapToGrid w:val="0"/>
        <w:spacing w:line="560" w:lineRule="atLeast"/>
        <w:ind w:firstLine="640" w:firstLineChars="200"/>
        <w:rPr>
          <w:rFonts w:eastAsia="楷体"/>
          <w:b w:val="0"/>
          <w:bCs w:val="0"/>
          <w:sz w:val="32"/>
        </w:rPr>
      </w:pPr>
      <w:bookmarkStart w:id="40" w:name="_Toc121478037"/>
      <w:r>
        <w:rPr>
          <w:rFonts w:eastAsia="楷体"/>
          <w:b w:val="0"/>
          <w:bCs w:val="0"/>
          <w:sz w:val="32"/>
        </w:rPr>
        <w:t>5.9信息发布</w:t>
      </w:r>
      <w:bookmarkEnd w:id="40"/>
    </w:p>
    <w:p>
      <w:pPr>
        <w:snapToGrid w:val="0"/>
        <w:spacing w:line="560" w:lineRule="exact"/>
        <w:ind w:firstLine="640" w:firstLineChars="200"/>
        <w:rPr>
          <w:rFonts w:eastAsia="仿宋_GB2312"/>
          <w:sz w:val="32"/>
          <w:szCs w:val="32"/>
        </w:rPr>
      </w:pPr>
      <w:r>
        <w:rPr>
          <w:rFonts w:eastAsia="仿宋_GB2312"/>
          <w:sz w:val="32"/>
          <w:szCs w:val="32"/>
        </w:rPr>
        <w:t>应急指挥部负责突发事件的信息发布工作，正确引导社会舆论。</w:t>
      </w:r>
    </w:p>
    <w:p>
      <w:pPr>
        <w:pStyle w:val="3"/>
        <w:snapToGrid w:val="0"/>
        <w:spacing w:line="560" w:lineRule="atLeast"/>
        <w:ind w:firstLine="640" w:firstLineChars="200"/>
        <w:rPr>
          <w:rFonts w:eastAsia="楷体"/>
          <w:b w:val="0"/>
          <w:bCs w:val="0"/>
          <w:sz w:val="32"/>
        </w:rPr>
      </w:pPr>
      <w:bookmarkStart w:id="41" w:name="_Toc121478038"/>
      <w:r>
        <w:rPr>
          <w:rFonts w:eastAsia="楷体"/>
          <w:b w:val="0"/>
          <w:bCs w:val="0"/>
          <w:sz w:val="32"/>
        </w:rPr>
        <w:t>5.10应急响应终止</w:t>
      </w:r>
      <w:bookmarkEnd w:id="41"/>
    </w:p>
    <w:p>
      <w:pPr>
        <w:snapToGrid w:val="0"/>
        <w:spacing w:line="560" w:lineRule="exact"/>
        <w:ind w:firstLine="640" w:firstLineChars="200"/>
        <w:rPr>
          <w:rFonts w:eastAsia="仿宋_GB2312"/>
          <w:sz w:val="32"/>
          <w:szCs w:val="32"/>
        </w:rPr>
      </w:pPr>
      <w:r>
        <w:rPr>
          <w:rFonts w:eastAsia="仿宋_GB2312"/>
          <w:sz w:val="32"/>
          <w:szCs w:val="32"/>
        </w:rPr>
        <w:t>港口突发事件的威胁和危害已得到有效控制或消除时，经现场检查、征询专家意见后，由现场指挥部提出Ⅳ级应急响应结束的建议，由应急指挥部决定终止应急状态，转入正常工作、生活，并向有关新闻单位发布信息，同时采取或者继续实施必要措施，防止发生港口突发事件的次生、衍生事件。</w:t>
      </w:r>
    </w:p>
    <w:p>
      <w:pPr>
        <w:snapToGrid w:val="0"/>
        <w:spacing w:line="560" w:lineRule="exact"/>
        <w:ind w:firstLine="640" w:firstLineChars="200"/>
        <w:rPr>
          <w:rFonts w:eastAsia="仿宋_GB2312"/>
          <w:sz w:val="32"/>
          <w:szCs w:val="32"/>
        </w:rPr>
      </w:pPr>
      <w:r>
        <w:rPr>
          <w:rFonts w:eastAsia="仿宋_GB2312"/>
          <w:sz w:val="32"/>
          <w:szCs w:val="32"/>
        </w:rPr>
        <w:t>由上级应急指挥机构负责指挥、处置的Ⅲ级及以上港口突发事件，在应急救援结束或者相关危险因素消除后，由对应的应急指挥机构提出应急结束并实施。</w:t>
      </w:r>
    </w:p>
    <w:p>
      <w:pPr>
        <w:pStyle w:val="2"/>
        <w:snapToGrid w:val="0"/>
        <w:spacing w:line="560" w:lineRule="atLeast"/>
        <w:ind w:firstLine="640" w:firstLineChars="200"/>
        <w:rPr>
          <w:b w:val="0"/>
          <w:bCs w:val="0"/>
          <w:szCs w:val="32"/>
        </w:rPr>
      </w:pPr>
      <w:bookmarkStart w:id="42" w:name="_Toc121836103"/>
      <w:bookmarkStart w:id="43" w:name="_Toc121478039"/>
      <w:bookmarkStart w:id="44" w:name="_Toc121836017"/>
      <w:r>
        <w:rPr>
          <w:b w:val="0"/>
          <w:bCs w:val="0"/>
          <w:szCs w:val="32"/>
        </w:rPr>
        <w:t>6 后期处置</w:t>
      </w:r>
      <w:bookmarkEnd w:id="42"/>
      <w:bookmarkEnd w:id="43"/>
      <w:bookmarkEnd w:id="44"/>
    </w:p>
    <w:p>
      <w:pPr>
        <w:pStyle w:val="3"/>
        <w:snapToGrid w:val="0"/>
        <w:spacing w:line="560" w:lineRule="atLeast"/>
        <w:ind w:firstLine="640" w:firstLineChars="200"/>
        <w:rPr>
          <w:rFonts w:eastAsia="楷体"/>
          <w:b w:val="0"/>
          <w:bCs w:val="0"/>
          <w:sz w:val="32"/>
        </w:rPr>
      </w:pPr>
      <w:bookmarkStart w:id="45" w:name="_Toc121478040"/>
      <w:r>
        <w:rPr>
          <w:rFonts w:eastAsia="楷体"/>
          <w:b w:val="0"/>
          <w:bCs w:val="0"/>
          <w:sz w:val="32"/>
        </w:rPr>
        <w:t>6.1善后处置</w:t>
      </w:r>
      <w:bookmarkEnd w:id="45"/>
    </w:p>
    <w:p>
      <w:pPr>
        <w:snapToGrid w:val="0"/>
        <w:spacing w:line="560" w:lineRule="exact"/>
        <w:ind w:firstLine="640" w:firstLineChars="200"/>
        <w:rPr>
          <w:rFonts w:eastAsia="仿宋_GB2312"/>
          <w:sz w:val="32"/>
          <w:szCs w:val="32"/>
        </w:rPr>
      </w:pPr>
      <w:r>
        <w:rPr>
          <w:rFonts w:eastAsia="仿宋_GB2312"/>
          <w:sz w:val="32"/>
          <w:szCs w:val="32"/>
        </w:rPr>
        <w:t>突发事件和灾害发生后，</w:t>
      </w:r>
      <w:r>
        <w:rPr>
          <w:rFonts w:hint="eastAsia" w:eastAsia="仿宋_GB2312"/>
          <w:sz w:val="32"/>
          <w:szCs w:val="32"/>
        </w:rPr>
        <w:t>市、区</w:t>
      </w:r>
      <w:r>
        <w:rPr>
          <w:rFonts w:eastAsia="仿宋_GB2312"/>
          <w:sz w:val="32"/>
          <w:szCs w:val="32"/>
        </w:rPr>
        <w:t>交通运输主管部门应协助当地政府指导事发港口企业迅速采取有效措施，救济援助灾民，尽快恢复正常的社会秩序。</w:t>
      </w:r>
    </w:p>
    <w:p>
      <w:pPr>
        <w:pStyle w:val="3"/>
        <w:snapToGrid w:val="0"/>
        <w:spacing w:line="560" w:lineRule="atLeast"/>
        <w:ind w:firstLine="640" w:firstLineChars="200"/>
        <w:rPr>
          <w:rFonts w:eastAsia="楷体"/>
          <w:b w:val="0"/>
          <w:bCs w:val="0"/>
          <w:sz w:val="32"/>
        </w:rPr>
      </w:pPr>
      <w:bookmarkStart w:id="46" w:name="_Toc121478041"/>
      <w:r>
        <w:rPr>
          <w:rFonts w:eastAsia="楷体"/>
          <w:b w:val="0"/>
          <w:bCs w:val="0"/>
          <w:sz w:val="32"/>
        </w:rPr>
        <w:t>6.2调查评估</w:t>
      </w:r>
      <w:bookmarkEnd w:id="46"/>
    </w:p>
    <w:p>
      <w:pPr>
        <w:snapToGrid w:val="0"/>
        <w:spacing w:line="560" w:lineRule="exact"/>
        <w:ind w:firstLine="640" w:firstLineChars="200"/>
        <w:rPr>
          <w:rFonts w:eastAsia="仿宋_GB2312"/>
          <w:sz w:val="32"/>
          <w:szCs w:val="32"/>
        </w:rPr>
      </w:pPr>
      <w:r>
        <w:rPr>
          <w:rFonts w:eastAsia="仿宋_GB2312"/>
          <w:sz w:val="32"/>
          <w:szCs w:val="32"/>
        </w:rPr>
        <w:t>突发事件应急状态解除后，由应急指挥部组织开展应急事件调查工作。调查总结报告包括事件发生原因、造成的损失、责任分析、处理意见、经验教训、整改措施、恢复和重建建议等。</w:t>
      </w:r>
    </w:p>
    <w:p>
      <w:pPr>
        <w:pStyle w:val="2"/>
        <w:snapToGrid w:val="0"/>
        <w:spacing w:line="560" w:lineRule="atLeast"/>
        <w:ind w:firstLine="640" w:firstLineChars="200"/>
        <w:rPr>
          <w:b w:val="0"/>
          <w:bCs w:val="0"/>
          <w:szCs w:val="32"/>
        </w:rPr>
      </w:pPr>
      <w:bookmarkStart w:id="47" w:name="_Toc121478042"/>
      <w:bookmarkStart w:id="48" w:name="_Toc121836104"/>
      <w:bookmarkStart w:id="49" w:name="_Toc121836018"/>
      <w:r>
        <w:rPr>
          <w:b w:val="0"/>
          <w:bCs w:val="0"/>
          <w:szCs w:val="32"/>
        </w:rPr>
        <w:t>7 应急保障</w:t>
      </w:r>
      <w:bookmarkEnd w:id="47"/>
      <w:bookmarkEnd w:id="48"/>
      <w:bookmarkEnd w:id="49"/>
    </w:p>
    <w:p>
      <w:pPr>
        <w:pStyle w:val="3"/>
        <w:snapToGrid w:val="0"/>
        <w:spacing w:line="560" w:lineRule="atLeast"/>
        <w:ind w:firstLine="640"/>
        <w:rPr>
          <w:rFonts w:eastAsia="楷体"/>
          <w:b w:val="0"/>
          <w:bCs w:val="0"/>
          <w:sz w:val="32"/>
        </w:rPr>
      </w:pPr>
      <w:bookmarkStart w:id="50" w:name="_Toc121478043"/>
      <w:r>
        <w:rPr>
          <w:rFonts w:eastAsia="楷体"/>
          <w:b w:val="0"/>
          <w:bCs w:val="0"/>
          <w:sz w:val="32"/>
        </w:rPr>
        <w:t>7.1应急资源保障</w:t>
      </w:r>
      <w:bookmarkEnd w:id="50"/>
    </w:p>
    <w:p>
      <w:pPr>
        <w:snapToGrid w:val="0"/>
        <w:spacing w:line="560" w:lineRule="exact"/>
        <w:ind w:firstLine="640" w:firstLineChars="200"/>
        <w:rPr>
          <w:rFonts w:eastAsia="仿宋_GB2312"/>
          <w:sz w:val="32"/>
          <w:szCs w:val="32"/>
        </w:rPr>
      </w:pPr>
      <w:r>
        <w:rPr>
          <w:rFonts w:eastAsia="仿宋_GB2312"/>
          <w:sz w:val="32"/>
          <w:szCs w:val="32"/>
        </w:rPr>
        <w:t>7.1.1应急队伍</w:t>
      </w:r>
    </w:p>
    <w:p>
      <w:pPr>
        <w:snapToGrid w:val="0"/>
        <w:spacing w:line="560" w:lineRule="exact"/>
        <w:ind w:firstLine="640" w:firstLineChars="200"/>
        <w:rPr>
          <w:rFonts w:eastAsia="仿宋_GB2312"/>
          <w:sz w:val="32"/>
          <w:szCs w:val="32"/>
        </w:rPr>
      </w:pPr>
      <w:r>
        <w:rPr>
          <w:rFonts w:eastAsia="仿宋_GB2312"/>
          <w:sz w:val="32"/>
          <w:szCs w:val="32"/>
        </w:rPr>
        <w:t>港口经营单位为港口突发事件应急响应提供基本人力资源保障。港口经营单位应成立专职（兼职）应急救援队伍，配备相应的应急救援装备、个体防护用品。</w:t>
      </w:r>
    </w:p>
    <w:p>
      <w:pPr>
        <w:snapToGrid w:val="0"/>
        <w:spacing w:line="560" w:lineRule="exact"/>
        <w:ind w:firstLine="640" w:firstLineChars="200"/>
        <w:rPr>
          <w:rFonts w:eastAsia="仿宋_GB2312"/>
          <w:sz w:val="32"/>
          <w:szCs w:val="32"/>
        </w:rPr>
      </w:pPr>
      <w:r>
        <w:rPr>
          <w:rFonts w:eastAsia="仿宋_GB2312"/>
          <w:sz w:val="32"/>
          <w:szCs w:val="32"/>
        </w:rPr>
        <w:t>市交通运输局相关部门应加强属地执法单元应急救援能力建设，</w:t>
      </w:r>
      <w:r>
        <w:rPr>
          <w:rFonts w:hint="eastAsia" w:eastAsia="仿宋_GB2312"/>
          <w:sz w:val="32"/>
          <w:szCs w:val="32"/>
        </w:rPr>
        <w:t>目前</w:t>
      </w:r>
      <w:r>
        <w:rPr>
          <w:rFonts w:eastAsia="仿宋_GB2312"/>
          <w:sz w:val="32"/>
          <w:szCs w:val="32"/>
        </w:rPr>
        <w:t>，已组建现场应急救援队伍19人，配备相应的应急救援装备、个体防护用品。</w:t>
      </w:r>
    </w:p>
    <w:p>
      <w:pPr>
        <w:snapToGrid w:val="0"/>
        <w:spacing w:line="560" w:lineRule="exact"/>
        <w:ind w:firstLine="640" w:firstLineChars="200"/>
        <w:rPr>
          <w:rFonts w:eastAsia="仿宋_GB2312"/>
          <w:sz w:val="32"/>
          <w:szCs w:val="32"/>
        </w:rPr>
      </w:pPr>
      <w:r>
        <w:rPr>
          <w:rFonts w:eastAsia="仿宋_GB2312"/>
          <w:sz w:val="32"/>
          <w:szCs w:val="32"/>
        </w:rPr>
        <w:t>各有关企业和部门应加强应急救援队伍的业务培训及应急演练，建立联动协调机制，提高装备水平。</w:t>
      </w:r>
    </w:p>
    <w:p>
      <w:pPr>
        <w:snapToGrid w:val="0"/>
        <w:spacing w:line="560" w:lineRule="exact"/>
        <w:ind w:firstLine="640" w:firstLineChars="200"/>
        <w:rPr>
          <w:rFonts w:eastAsia="仿宋_GB2312"/>
          <w:sz w:val="32"/>
          <w:szCs w:val="32"/>
        </w:rPr>
      </w:pPr>
      <w:r>
        <w:rPr>
          <w:rFonts w:eastAsia="仿宋_GB2312"/>
          <w:sz w:val="32"/>
          <w:szCs w:val="32"/>
        </w:rPr>
        <w:t>7.1.2应急物资</w:t>
      </w:r>
    </w:p>
    <w:p>
      <w:pPr>
        <w:snapToGrid w:val="0"/>
        <w:spacing w:line="560" w:lineRule="exact"/>
        <w:ind w:firstLine="640" w:firstLineChars="200"/>
        <w:rPr>
          <w:rFonts w:eastAsia="仿宋_GB2312"/>
          <w:sz w:val="32"/>
          <w:szCs w:val="32"/>
        </w:rPr>
      </w:pPr>
      <w:r>
        <w:rPr>
          <w:rFonts w:eastAsia="仿宋_GB2312"/>
          <w:sz w:val="32"/>
          <w:szCs w:val="32"/>
        </w:rPr>
        <w:t>市交通运输局应根据沿江港口风险分布情况，合理建立港口突发事件公共应急物资储备库，配备必要的应急物资，</w:t>
      </w:r>
      <w:r>
        <w:rPr>
          <w:rFonts w:hint="eastAsia" w:eastAsia="仿宋_GB2312"/>
          <w:sz w:val="32"/>
          <w:szCs w:val="32"/>
        </w:rPr>
        <w:t>目前</w:t>
      </w:r>
      <w:r>
        <w:rPr>
          <w:rFonts w:eastAsia="仿宋_GB2312"/>
          <w:sz w:val="32"/>
          <w:szCs w:val="32"/>
        </w:rPr>
        <w:t>，已配备执法艇8艘，在事故应急需要时，服从应急指挥部或现场应急指挥机构紧急调用。南京市沿江港口应急物资公共储备库应急物资清单详见附件7。</w:t>
      </w:r>
    </w:p>
    <w:p>
      <w:pPr>
        <w:pStyle w:val="3"/>
        <w:snapToGrid w:val="0"/>
        <w:spacing w:line="560" w:lineRule="atLeast"/>
        <w:ind w:firstLine="640"/>
        <w:rPr>
          <w:rFonts w:eastAsia="楷体"/>
          <w:b w:val="0"/>
          <w:bCs w:val="0"/>
          <w:sz w:val="32"/>
        </w:rPr>
      </w:pPr>
      <w:bookmarkStart w:id="51" w:name="_Toc121478044"/>
      <w:r>
        <w:rPr>
          <w:rFonts w:eastAsia="楷体"/>
          <w:b w:val="0"/>
          <w:bCs w:val="0"/>
          <w:sz w:val="32"/>
        </w:rPr>
        <w:t>7.2通信与信息保障</w:t>
      </w:r>
      <w:bookmarkEnd w:id="51"/>
    </w:p>
    <w:p>
      <w:pPr>
        <w:snapToGrid w:val="0"/>
        <w:spacing w:line="560" w:lineRule="exact"/>
        <w:ind w:firstLine="640" w:firstLineChars="200"/>
        <w:rPr>
          <w:rFonts w:eastAsia="仿宋_GB2312"/>
          <w:sz w:val="32"/>
          <w:szCs w:val="32"/>
        </w:rPr>
      </w:pPr>
      <w:r>
        <w:rPr>
          <w:rFonts w:eastAsia="仿宋_GB2312"/>
          <w:sz w:val="32"/>
          <w:szCs w:val="32"/>
        </w:rPr>
        <w:t>（1）市交通运输局应储存市港口突发事件应急救援指挥部成员单位的通讯录并定期更新。</w:t>
      </w:r>
    </w:p>
    <w:p>
      <w:pPr>
        <w:snapToGrid w:val="0"/>
        <w:spacing w:line="560" w:lineRule="exact"/>
        <w:ind w:firstLine="640" w:firstLineChars="200"/>
        <w:rPr>
          <w:rFonts w:eastAsia="仿宋_GB2312"/>
          <w:sz w:val="32"/>
          <w:szCs w:val="32"/>
        </w:rPr>
      </w:pPr>
      <w:r>
        <w:rPr>
          <w:rFonts w:eastAsia="仿宋_GB2312"/>
          <w:sz w:val="32"/>
          <w:szCs w:val="32"/>
        </w:rPr>
        <w:t>（2）市港口企业根据实际情况，储存各企业港口突发事件应急救援成员的通讯录并定期更新。</w:t>
      </w:r>
    </w:p>
    <w:p>
      <w:pPr>
        <w:snapToGrid w:val="0"/>
        <w:spacing w:line="560" w:lineRule="exact"/>
        <w:ind w:firstLine="640" w:firstLineChars="200"/>
        <w:rPr>
          <w:rFonts w:eastAsia="仿宋_GB2312"/>
          <w:sz w:val="32"/>
          <w:szCs w:val="32"/>
        </w:rPr>
      </w:pPr>
      <w:r>
        <w:rPr>
          <w:rFonts w:eastAsia="仿宋_GB2312"/>
          <w:sz w:val="32"/>
          <w:szCs w:val="32"/>
        </w:rPr>
        <w:t>（3）本预案应急指挥人员使用的应急通信设备除手机由持有人自行负责维护外，其余设备（办公电话、防爆对讲机）由现场指挥机构各成员单位负责配备、维修、日常维护和保管，保证其随时有效投入使用。</w:t>
      </w:r>
    </w:p>
    <w:p>
      <w:pPr>
        <w:pStyle w:val="3"/>
        <w:snapToGrid w:val="0"/>
        <w:spacing w:line="560" w:lineRule="atLeast"/>
        <w:ind w:firstLine="640"/>
        <w:rPr>
          <w:rFonts w:eastAsia="楷体"/>
          <w:b w:val="0"/>
          <w:bCs w:val="0"/>
          <w:sz w:val="32"/>
        </w:rPr>
      </w:pPr>
      <w:bookmarkStart w:id="52" w:name="_Toc121478045"/>
      <w:r>
        <w:rPr>
          <w:rFonts w:eastAsia="楷体"/>
          <w:b w:val="0"/>
          <w:bCs w:val="0"/>
          <w:sz w:val="32"/>
        </w:rPr>
        <w:t>7.3专家保障</w:t>
      </w:r>
      <w:bookmarkEnd w:id="52"/>
    </w:p>
    <w:p>
      <w:pPr>
        <w:snapToGrid w:val="0"/>
        <w:spacing w:line="560" w:lineRule="exact"/>
        <w:ind w:firstLine="640" w:firstLineChars="200"/>
        <w:rPr>
          <w:rFonts w:eastAsia="仿宋_GB2312"/>
          <w:sz w:val="32"/>
          <w:szCs w:val="32"/>
        </w:rPr>
      </w:pPr>
      <w:r>
        <w:rPr>
          <w:rFonts w:eastAsia="仿宋_GB2312"/>
          <w:sz w:val="32"/>
          <w:szCs w:val="32"/>
        </w:rPr>
        <w:t>组建市港口突发事件应急处置专家库，根据实际情况，在全省范围内聘请有关行业、领域的专家，参与具体港口突发事件应急处置工作，为市港口突发事件应急处置工作提供技术支持和决策建议。</w:t>
      </w:r>
    </w:p>
    <w:p>
      <w:pPr>
        <w:pStyle w:val="2"/>
        <w:snapToGrid w:val="0"/>
        <w:spacing w:line="560" w:lineRule="atLeast"/>
        <w:ind w:firstLine="640" w:firstLineChars="200"/>
        <w:rPr>
          <w:b w:val="0"/>
          <w:bCs w:val="0"/>
          <w:szCs w:val="32"/>
        </w:rPr>
      </w:pPr>
      <w:bookmarkStart w:id="53" w:name="_Toc121836019"/>
      <w:bookmarkStart w:id="54" w:name="_Toc121836105"/>
      <w:bookmarkStart w:id="55" w:name="_Toc121478046"/>
      <w:r>
        <w:rPr>
          <w:b w:val="0"/>
          <w:bCs w:val="0"/>
          <w:szCs w:val="32"/>
        </w:rPr>
        <w:t>8 宣传、培训与演练</w:t>
      </w:r>
      <w:bookmarkEnd w:id="53"/>
      <w:bookmarkEnd w:id="54"/>
      <w:bookmarkEnd w:id="55"/>
    </w:p>
    <w:p>
      <w:pPr>
        <w:pStyle w:val="3"/>
        <w:snapToGrid w:val="0"/>
        <w:spacing w:line="560" w:lineRule="atLeast"/>
        <w:ind w:firstLine="640"/>
        <w:rPr>
          <w:rFonts w:eastAsia="楷体"/>
          <w:b w:val="0"/>
          <w:bCs w:val="0"/>
          <w:sz w:val="32"/>
        </w:rPr>
      </w:pPr>
      <w:bookmarkStart w:id="56" w:name="_Toc121478047"/>
      <w:r>
        <w:rPr>
          <w:rFonts w:eastAsia="楷体"/>
          <w:b w:val="0"/>
          <w:bCs w:val="0"/>
          <w:sz w:val="32"/>
        </w:rPr>
        <w:t>8.1宣传和培训</w:t>
      </w:r>
      <w:bookmarkEnd w:id="56"/>
    </w:p>
    <w:p>
      <w:pPr>
        <w:snapToGrid w:val="0"/>
        <w:spacing w:line="560" w:lineRule="exact"/>
        <w:ind w:firstLine="640" w:firstLineChars="200"/>
        <w:rPr>
          <w:rFonts w:eastAsia="仿宋_GB2312"/>
          <w:sz w:val="32"/>
          <w:szCs w:val="32"/>
        </w:rPr>
      </w:pPr>
      <w:r>
        <w:rPr>
          <w:rFonts w:eastAsia="仿宋_GB2312"/>
          <w:sz w:val="32"/>
          <w:szCs w:val="32"/>
        </w:rPr>
        <w:t>利用电视、广播、报刊等渠道宣传港口突发事件应急的基本知识，广泛宣传应急法律、法规和预防、避险、自救、互救、防灾减灾等知识和技能。</w:t>
      </w:r>
    </w:p>
    <w:p>
      <w:pPr>
        <w:snapToGrid w:val="0"/>
        <w:spacing w:line="560" w:lineRule="exact"/>
        <w:ind w:firstLine="640" w:firstLineChars="200"/>
        <w:rPr>
          <w:rFonts w:eastAsia="仿宋_GB2312"/>
          <w:sz w:val="32"/>
          <w:szCs w:val="32"/>
        </w:rPr>
      </w:pPr>
      <w:r>
        <w:rPr>
          <w:rFonts w:eastAsia="仿宋_GB2312"/>
          <w:sz w:val="32"/>
          <w:szCs w:val="32"/>
        </w:rPr>
        <w:t>市交通运输局各相关部门和单位根据法律法规和本预案，指导各港口企业开展培训工作。</w:t>
      </w:r>
    </w:p>
    <w:p>
      <w:pPr>
        <w:pStyle w:val="3"/>
        <w:snapToGrid w:val="0"/>
        <w:spacing w:line="560" w:lineRule="atLeast"/>
        <w:ind w:firstLine="640"/>
        <w:rPr>
          <w:rFonts w:eastAsia="楷体"/>
          <w:b w:val="0"/>
          <w:bCs w:val="0"/>
          <w:sz w:val="32"/>
        </w:rPr>
      </w:pPr>
      <w:bookmarkStart w:id="57" w:name="_Toc121478048"/>
      <w:r>
        <w:rPr>
          <w:rFonts w:eastAsia="楷体"/>
          <w:b w:val="0"/>
          <w:bCs w:val="0"/>
          <w:sz w:val="32"/>
        </w:rPr>
        <w:t>8.2应急演练</w:t>
      </w:r>
      <w:bookmarkEnd w:id="57"/>
    </w:p>
    <w:p>
      <w:pPr>
        <w:snapToGrid w:val="0"/>
        <w:spacing w:line="560" w:lineRule="exact"/>
        <w:ind w:firstLine="640" w:firstLineChars="200"/>
        <w:rPr>
          <w:rFonts w:eastAsia="仿宋_GB2312"/>
          <w:sz w:val="32"/>
          <w:szCs w:val="32"/>
        </w:rPr>
      </w:pPr>
      <w:r>
        <w:rPr>
          <w:rFonts w:eastAsia="仿宋_GB2312"/>
          <w:sz w:val="32"/>
          <w:szCs w:val="32"/>
        </w:rPr>
        <w:t>市交通运输局根据平战结合原则，建立演练机制，结合工作实际，每年组织一次港口突发事件应急预案演练，通过演练不断完善应急预案，提高对港口突发事件的应急处置能力。</w:t>
      </w:r>
    </w:p>
    <w:p>
      <w:pPr>
        <w:pStyle w:val="2"/>
        <w:snapToGrid w:val="0"/>
        <w:spacing w:line="560" w:lineRule="atLeast"/>
        <w:ind w:firstLine="640" w:firstLineChars="200"/>
        <w:rPr>
          <w:b w:val="0"/>
          <w:bCs w:val="0"/>
          <w:szCs w:val="32"/>
        </w:rPr>
      </w:pPr>
      <w:bookmarkStart w:id="58" w:name="_Toc121836020"/>
      <w:bookmarkStart w:id="59" w:name="_Toc121478049"/>
      <w:bookmarkStart w:id="60" w:name="_Toc121836106"/>
      <w:r>
        <w:rPr>
          <w:b w:val="0"/>
          <w:bCs w:val="0"/>
          <w:szCs w:val="32"/>
        </w:rPr>
        <w:t>9 预案管理与更新</w:t>
      </w:r>
      <w:bookmarkEnd w:id="58"/>
      <w:bookmarkEnd w:id="59"/>
      <w:bookmarkEnd w:id="60"/>
    </w:p>
    <w:p>
      <w:pPr>
        <w:snapToGrid w:val="0"/>
        <w:spacing w:line="560" w:lineRule="exact"/>
        <w:ind w:firstLine="640" w:firstLineChars="200"/>
        <w:rPr>
          <w:rFonts w:eastAsia="仿宋_GB2312"/>
          <w:sz w:val="32"/>
          <w:szCs w:val="32"/>
        </w:rPr>
      </w:pPr>
      <w:r>
        <w:rPr>
          <w:rFonts w:eastAsia="仿宋_GB2312"/>
          <w:sz w:val="32"/>
          <w:szCs w:val="32"/>
        </w:rPr>
        <w:t>（1）市交通运输局定期评估，分析评价预案内容的针对性、实用性和可操作性，实现应急预案的动态优化和科学规范管理。</w:t>
      </w:r>
    </w:p>
    <w:p>
      <w:pPr>
        <w:snapToGrid w:val="0"/>
        <w:spacing w:line="560" w:lineRule="exact"/>
        <w:ind w:firstLine="640" w:firstLineChars="200"/>
        <w:rPr>
          <w:rFonts w:eastAsia="仿宋_GB2312"/>
          <w:sz w:val="32"/>
          <w:szCs w:val="32"/>
        </w:rPr>
      </w:pPr>
      <w:r>
        <w:rPr>
          <w:rFonts w:eastAsia="仿宋_GB2312"/>
          <w:sz w:val="32"/>
          <w:szCs w:val="32"/>
        </w:rPr>
        <w:t>（2）市交通运输局根据实际需要，结合情势变化，适时修订、完善应急预案。</w:t>
      </w:r>
    </w:p>
    <w:p>
      <w:pPr>
        <w:snapToGrid w:val="0"/>
        <w:spacing w:line="560" w:lineRule="exact"/>
        <w:ind w:firstLine="640" w:firstLineChars="200"/>
        <w:rPr>
          <w:rFonts w:eastAsia="仿宋_GB2312"/>
          <w:sz w:val="32"/>
          <w:szCs w:val="32"/>
        </w:rPr>
      </w:pPr>
      <w:r>
        <w:rPr>
          <w:rFonts w:eastAsia="仿宋_GB2312"/>
          <w:sz w:val="32"/>
          <w:szCs w:val="32"/>
        </w:rPr>
        <w:t>（3）当本预案出现以下情况时，应适时修订：</w:t>
      </w:r>
    </w:p>
    <w:p>
      <w:pPr>
        <w:snapToGrid w:val="0"/>
        <w:spacing w:line="560" w:lineRule="exact"/>
        <w:ind w:firstLine="640" w:firstLineChars="200"/>
        <w:rPr>
          <w:rFonts w:eastAsia="仿宋_GB2312"/>
          <w:sz w:val="32"/>
          <w:szCs w:val="32"/>
        </w:rPr>
      </w:pPr>
      <w:r>
        <w:rPr>
          <w:rFonts w:eastAsia="仿宋_GB2312"/>
          <w:sz w:val="32"/>
          <w:szCs w:val="32"/>
        </w:rPr>
        <w:t>1）有关法律、行政法规、规章、标准、上位预案中的有关规定发生重大变化的；</w:t>
      </w:r>
    </w:p>
    <w:p>
      <w:pPr>
        <w:snapToGrid w:val="0"/>
        <w:spacing w:line="560" w:lineRule="exact"/>
        <w:ind w:firstLine="640" w:firstLineChars="200"/>
        <w:rPr>
          <w:rFonts w:eastAsia="仿宋_GB2312"/>
          <w:sz w:val="32"/>
          <w:szCs w:val="32"/>
        </w:rPr>
      </w:pPr>
      <w:r>
        <w:rPr>
          <w:rFonts w:eastAsia="仿宋_GB2312"/>
          <w:sz w:val="32"/>
          <w:szCs w:val="32"/>
        </w:rPr>
        <w:t>2）应急指挥机构及其职责发生调整的；</w:t>
      </w:r>
    </w:p>
    <w:p>
      <w:pPr>
        <w:snapToGrid w:val="0"/>
        <w:spacing w:line="560" w:lineRule="exact"/>
        <w:ind w:firstLine="640" w:firstLineChars="200"/>
        <w:rPr>
          <w:rFonts w:eastAsia="仿宋_GB2312"/>
          <w:sz w:val="32"/>
          <w:szCs w:val="32"/>
        </w:rPr>
      </w:pPr>
      <w:r>
        <w:rPr>
          <w:rFonts w:eastAsia="仿宋_GB2312"/>
          <w:sz w:val="32"/>
          <w:szCs w:val="32"/>
        </w:rPr>
        <w:t>3）面临的风险发生重大变化的；</w:t>
      </w:r>
    </w:p>
    <w:p>
      <w:pPr>
        <w:snapToGrid w:val="0"/>
        <w:spacing w:line="560" w:lineRule="exact"/>
        <w:ind w:firstLine="640" w:firstLineChars="200"/>
        <w:rPr>
          <w:rFonts w:eastAsia="仿宋_GB2312"/>
          <w:sz w:val="32"/>
          <w:szCs w:val="32"/>
        </w:rPr>
      </w:pPr>
      <w:r>
        <w:rPr>
          <w:rFonts w:eastAsia="仿宋_GB2312"/>
          <w:sz w:val="32"/>
          <w:szCs w:val="32"/>
        </w:rPr>
        <w:t>4）重要应急资源发生重大变化的；</w:t>
      </w:r>
    </w:p>
    <w:p>
      <w:pPr>
        <w:snapToGrid w:val="0"/>
        <w:spacing w:line="560" w:lineRule="exact"/>
        <w:ind w:firstLine="640" w:firstLineChars="200"/>
        <w:rPr>
          <w:rFonts w:eastAsia="仿宋_GB2312"/>
          <w:sz w:val="32"/>
          <w:szCs w:val="32"/>
        </w:rPr>
      </w:pPr>
      <w:r>
        <w:rPr>
          <w:rFonts w:eastAsia="仿宋_GB2312"/>
          <w:sz w:val="32"/>
          <w:szCs w:val="32"/>
        </w:rPr>
        <w:t>5）在突发事件实际应对和应急演练中发现问题需要作出重大调整的；</w:t>
      </w:r>
    </w:p>
    <w:p>
      <w:pPr>
        <w:snapToGrid w:val="0"/>
        <w:spacing w:line="560" w:lineRule="exact"/>
        <w:ind w:firstLine="640" w:firstLineChars="200"/>
        <w:rPr>
          <w:rFonts w:eastAsia="仿宋_GB2312"/>
          <w:sz w:val="32"/>
          <w:szCs w:val="32"/>
        </w:rPr>
      </w:pPr>
      <w:r>
        <w:rPr>
          <w:rFonts w:eastAsia="仿宋_GB2312"/>
          <w:sz w:val="32"/>
          <w:szCs w:val="32"/>
        </w:rPr>
        <w:t>6）应急预案制定单位认为应当修订的其他情况。</w:t>
      </w:r>
    </w:p>
    <w:p>
      <w:pPr>
        <w:pStyle w:val="2"/>
        <w:snapToGrid w:val="0"/>
        <w:spacing w:line="560" w:lineRule="atLeast"/>
        <w:ind w:firstLine="640" w:firstLineChars="200"/>
        <w:rPr>
          <w:b w:val="0"/>
          <w:bCs w:val="0"/>
          <w:szCs w:val="32"/>
        </w:rPr>
      </w:pPr>
      <w:bookmarkStart w:id="61" w:name="_Toc121836021"/>
      <w:bookmarkStart w:id="62" w:name="_Toc121478050"/>
      <w:bookmarkStart w:id="63" w:name="_Toc121836107"/>
      <w:r>
        <w:rPr>
          <w:b w:val="0"/>
          <w:bCs w:val="0"/>
          <w:szCs w:val="32"/>
        </w:rPr>
        <w:t>10 制定与实施</w:t>
      </w:r>
      <w:bookmarkEnd w:id="61"/>
      <w:bookmarkEnd w:id="62"/>
      <w:bookmarkEnd w:id="63"/>
    </w:p>
    <w:p>
      <w:pPr>
        <w:snapToGrid w:val="0"/>
        <w:spacing w:line="560" w:lineRule="exact"/>
        <w:ind w:firstLine="640" w:firstLineChars="200"/>
        <w:rPr>
          <w:rFonts w:eastAsia="仿宋_GB2312"/>
          <w:sz w:val="32"/>
          <w:szCs w:val="32"/>
        </w:rPr>
      </w:pPr>
      <w:r>
        <w:rPr>
          <w:rFonts w:eastAsia="仿宋_GB2312"/>
          <w:sz w:val="32"/>
          <w:szCs w:val="32"/>
        </w:rPr>
        <w:t>本预案由市交通运输局制定，报市政府</w:t>
      </w:r>
      <w:r>
        <w:rPr>
          <w:rFonts w:hint="eastAsia" w:eastAsia="仿宋_GB2312"/>
          <w:sz w:val="32"/>
          <w:szCs w:val="32"/>
        </w:rPr>
        <w:t>或市级应急指挥中心</w:t>
      </w:r>
      <w:r>
        <w:rPr>
          <w:rFonts w:eastAsia="仿宋_GB2312"/>
          <w:sz w:val="32"/>
          <w:szCs w:val="32"/>
        </w:rPr>
        <w:t>备案。</w:t>
      </w:r>
    </w:p>
    <w:p>
      <w:pPr>
        <w:snapToGrid w:val="0"/>
        <w:spacing w:line="560" w:lineRule="exact"/>
        <w:ind w:firstLine="640" w:firstLineChars="200"/>
        <w:rPr>
          <w:rFonts w:eastAsia="仿宋_GB2312"/>
          <w:sz w:val="32"/>
          <w:szCs w:val="32"/>
        </w:rPr>
      </w:pPr>
      <w:r>
        <w:rPr>
          <w:rFonts w:eastAsia="仿宋_GB2312"/>
          <w:sz w:val="32"/>
          <w:szCs w:val="32"/>
        </w:rPr>
        <w:t>本预案自发布之日起实施。</w:t>
      </w:r>
    </w:p>
    <w:p>
      <w:pPr>
        <w:snapToGrid w:val="0"/>
        <w:spacing w:line="560" w:lineRule="exact"/>
        <w:ind w:firstLine="640" w:firstLineChars="200"/>
        <w:rPr>
          <w:rFonts w:eastAsia="仿宋_GB2312"/>
          <w:sz w:val="32"/>
          <w:szCs w:val="32"/>
        </w:rPr>
        <w:sectPr>
          <w:pgSz w:w="11910" w:h="16840"/>
          <w:pgMar w:top="1440" w:right="1417" w:bottom="1440" w:left="1417" w:header="0" w:footer="1014" w:gutter="0"/>
          <w:pgNumType w:fmt="numberInDash"/>
          <w:cols w:space="720" w:num="1"/>
          <w:docGrid w:linePitch="326" w:charSpace="0"/>
        </w:sectPr>
      </w:pPr>
    </w:p>
    <w:p>
      <w:pPr>
        <w:snapToGrid w:val="0"/>
        <w:spacing w:line="560" w:lineRule="exact"/>
        <w:rPr>
          <w:rFonts w:eastAsia="仿宋_GB2312"/>
          <w:sz w:val="32"/>
          <w:szCs w:val="32"/>
        </w:rPr>
      </w:pPr>
      <w:bookmarkStart w:id="64" w:name="_Toc121478051"/>
      <w:r>
        <w:rPr>
          <w:rFonts w:eastAsia="仿宋_GB2312"/>
          <w:sz w:val="32"/>
          <w:szCs w:val="32"/>
        </w:rPr>
        <w:t>附件1</w:t>
      </w:r>
      <w:bookmarkEnd w:id="64"/>
      <w:r>
        <w:rPr>
          <w:rFonts w:eastAsia="仿宋_GB2312"/>
          <w:sz w:val="32"/>
          <w:szCs w:val="32"/>
        </w:rPr>
        <w:t xml:space="preserve"> </w:t>
      </w:r>
    </w:p>
    <w:p>
      <w:pPr>
        <w:pStyle w:val="3"/>
        <w:jc w:val="center"/>
        <w:rPr>
          <w:rFonts w:hint="eastAsia" w:eastAsia="楷体"/>
          <w:b w:val="0"/>
          <w:bCs w:val="0"/>
          <w:sz w:val="32"/>
        </w:rPr>
      </w:pPr>
      <w:bookmarkStart w:id="65" w:name="_Toc121478052"/>
    </w:p>
    <w:p>
      <w:pPr>
        <w:pStyle w:val="3"/>
        <w:jc w:val="center"/>
        <w:rPr>
          <w:rFonts w:eastAsia="楷体"/>
          <w:b w:val="0"/>
          <w:bCs w:val="0"/>
          <w:sz w:val="32"/>
        </w:rPr>
      </w:pPr>
      <w:r>
        <w:rPr>
          <w:rFonts w:eastAsia="楷体"/>
          <w:b w:val="0"/>
          <w:bCs w:val="0"/>
          <w:sz w:val="32"/>
        </w:rPr>
        <w:t>南京港长江港区示意图</w:t>
      </w:r>
      <w:bookmarkEnd w:id="65"/>
    </w:p>
    <w:p/>
    <w:p>
      <w:r>
        <w:drawing>
          <wp:inline distT="0" distB="0" distL="114300" distR="114300">
            <wp:extent cx="8407400" cy="3481070"/>
            <wp:effectExtent l="0" t="0" r="1270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407400" cy="3481070"/>
                    </a:xfrm>
                    <a:prstGeom prst="rect">
                      <a:avLst/>
                    </a:prstGeom>
                    <a:noFill/>
                    <a:ln>
                      <a:noFill/>
                    </a:ln>
                  </pic:spPr>
                </pic:pic>
              </a:graphicData>
            </a:graphic>
          </wp:inline>
        </w:drawing>
      </w:r>
    </w:p>
    <w:p/>
    <w:p>
      <w:pPr>
        <w:jc w:val="center"/>
      </w:pPr>
    </w:p>
    <w:p>
      <w:pPr>
        <w:sectPr>
          <w:pgSz w:w="16840" w:h="11910" w:orient="landscape"/>
          <w:pgMar w:top="1440" w:right="1800" w:bottom="1440" w:left="1800" w:header="0" w:footer="1014" w:gutter="0"/>
          <w:pgNumType w:fmt="numberInDash"/>
          <w:cols w:space="720" w:num="1"/>
          <w:docGrid w:type="lines" w:linePitch="326" w:charSpace="0"/>
        </w:sectPr>
      </w:pPr>
    </w:p>
    <w:p>
      <w:pPr>
        <w:snapToGrid w:val="0"/>
        <w:spacing w:line="560" w:lineRule="exact"/>
        <w:rPr>
          <w:rFonts w:eastAsia="仿宋_GB2312"/>
          <w:sz w:val="32"/>
          <w:szCs w:val="32"/>
        </w:rPr>
      </w:pPr>
      <w:bookmarkStart w:id="66" w:name="_Toc121478053"/>
      <w:r>
        <w:rPr>
          <w:rFonts w:eastAsia="仿宋_GB2312"/>
          <w:sz w:val="32"/>
          <w:szCs w:val="32"/>
        </w:rPr>
        <w:t>附件2</w:t>
      </w:r>
      <w:bookmarkEnd w:id="66"/>
      <w:r>
        <w:rPr>
          <w:rFonts w:eastAsia="仿宋_GB2312"/>
          <w:sz w:val="32"/>
          <w:szCs w:val="32"/>
        </w:rPr>
        <w:t xml:space="preserve"> </w:t>
      </w:r>
    </w:p>
    <w:p>
      <w:pPr>
        <w:pStyle w:val="3"/>
        <w:jc w:val="center"/>
        <w:rPr>
          <w:rFonts w:hint="eastAsia" w:eastAsia="楷体"/>
          <w:b w:val="0"/>
          <w:bCs w:val="0"/>
          <w:sz w:val="32"/>
        </w:rPr>
      </w:pPr>
      <w:bookmarkStart w:id="67" w:name="_Toc121478054"/>
    </w:p>
    <w:p>
      <w:pPr>
        <w:pStyle w:val="3"/>
        <w:jc w:val="center"/>
        <w:rPr>
          <w:rFonts w:eastAsia="楷体"/>
          <w:b w:val="0"/>
          <w:bCs w:val="0"/>
          <w:sz w:val="32"/>
        </w:rPr>
      </w:pPr>
      <w:r>
        <w:rPr>
          <w:rFonts w:eastAsia="楷体"/>
          <w:b w:val="0"/>
          <w:bCs w:val="0"/>
          <w:sz w:val="32"/>
        </w:rPr>
        <w:t>南京市交通运输局港口突发事件应急组织机构图</w:t>
      </w:r>
      <w:bookmarkEnd w:id="67"/>
    </w:p>
    <w:p/>
    <w:p>
      <w:pPr>
        <w:spacing w:line="360" w:lineRule="auto"/>
      </w:pPr>
      <w:r>
        <w:rPr>
          <w:sz w:val="32"/>
        </w:rPr>
        <mc:AlternateContent>
          <mc:Choice Requires="wpg">
            <w:drawing>
              <wp:anchor distT="0" distB="0" distL="114300" distR="114300" simplePos="0" relativeHeight="251660288" behindDoc="0" locked="0" layoutInCell="1" allowOverlap="1">
                <wp:simplePos x="0" y="0"/>
                <wp:positionH relativeFrom="column">
                  <wp:posOffset>323850</wp:posOffset>
                </wp:positionH>
                <wp:positionV relativeFrom="paragraph">
                  <wp:posOffset>76200</wp:posOffset>
                </wp:positionV>
                <wp:extent cx="4443730" cy="5414645"/>
                <wp:effectExtent l="4445" t="5080" r="9525" b="9525"/>
                <wp:wrapNone/>
                <wp:docPr id="19" name="组合 19"/>
                <wp:cNvGraphicFramePr/>
                <a:graphic xmlns:a="http://schemas.openxmlformats.org/drawingml/2006/main">
                  <a:graphicData uri="http://schemas.microsoft.com/office/word/2010/wordprocessingGroup">
                    <wpg:wgp>
                      <wpg:cNvGrpSpPr/>
                      <wpg:grpSpPr>
                        <a:xfrm>
                          <a:off x="1304290" y="1237615"/>
                          <a:ext cx="4443730" cy="5414645"/>
                          <a:chOff x="4728" y="2232"/>
                          <a:chExt cx="6998" cy="8527"/>
                        </a:xfrm>
                        <a:effectLst/>
                      </wpg:grpSpPr>
                      <wps:wsp>
                        <wps:cNvPr id="2" name="文本框 1"/>
                        <wps:cNvSpPr txBox="1"/>
                        <wps:spPr>
                          <a:xfrm>
                            <a:off x="5883" y="2232"/>
                            <a:ext cx="4703" cy="88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方正仿宋_GBK"/>
                                  <w:szCs w:val="21"/>
                                  <w:lang w:val="en"/>
                                </w:rPr>
                              </w:pPr>
                              <w:r>
                                <w:rPr>
                                  <w:rFonts w:hint="eastAsia" w:eastAsia="方正仿宋_GBK"/>
                                  <w:szCs w:val="21"/>
                                  <w:lang w:val="en"/>
                                </w:rPr>
                                <w:t>局港口突发事件应急指挥部</w:t>
                              </w:r>
                            </w:p>
                          </w:txbxContent>
                        </wps:txbx>
                        <wps:bodyPr lIns="91440" tIns="107999" rIns="91440" bIns="45720" upright="1"/>
                      </wps:wsp>
                      <wps:wsp>
                        <wps:cNvPr id="3" name="文本框 2"/>
                        <wps:cNvSpPr txBox="1"/>
                        <wps:spPr>
                          <a:xfrm>
                            <a:off x="5878" y="3916"/>
                            <a:ext cx="4703" cy="9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方正仿宋_GBK"/>
                                  <w:szCs w:val="21"/>
                                </w:rPr>
                              </w:pPr>
                              <w:r>
                                <w:rPr>
                                  <w:rFonts w:hint="eastAsia" w:eastAsia="方正仿宋_GBK"/>
                                  <w:szCs w:val="21"/>
                                </w:rPr>
                                <w:t>指挥长：市交通运输局主要领导</w:t>
                              </w:r>
                            </w:p>
                            <w:p>
                              <w:pPr>
                                <w:jc w:val="center"/>
                                <w:rPr>
                                  <w:rFonts w:hint="eastAsia" w:eastAsia="方正仿宋_GBK"/>
                                  <w:szCs w:val="21"/>
                                </w:rPr>
                              </w:pPr>
                              <w:r>
                                <w:rPr>
                                  <w:rFonts w:hint="eastAsia" w:eastAsia="方正仿宋_GBK"/>
                                  <w:szCs w:val="21"/>
                                </w:rPr>
                                <w:t>副指挥长：市交通运输局分管领导</w:t>
                              </w:r>
                            </w:p>
                          </w:txbxContent>
                        </wps:txbx>
                        <wps:bodyPr lIns="91440" tIns="107999" rIns="91440" bIns="45720" upright="1"/>
                      </wps:wsp>
                      <wps:wsp>
                        <wps:cNvPr id="4" name="文本框 3"/>
                        <wps:cNvSpPr txBox="1"/>
                        <wps:spPr>
                          <a:xfrm>
                            <a:off x="7918" y="7587"/>
                            <a:ext cx="663" cy="31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 w:hAnsi="仿宋" w:eastAsia="仿宋" w:cs="仿宋"/>
                                  <w:szCs w:val="21"/>
                                </w:rPr>
                              </w:pPr>
                              <w:r>
                                <w:rPr>
                                  <w:rFonts w:hint="eastAsia" w:ascii="仿宋" w:hAnsi="仿宋" w:eastAsia="仿宋" w:cs="仿宋"/>
                                  <w:szCs w:val="21"/>
                                </w:rPr>
                                <w:t>市交通运输综合行政执法监督局</w:t>
                              </w:r>
                            </w:p>
                          </w:txbxContent>
                        </wps:txbx>
                        <wps:bodyPr vert="eaVert" upright="1"/>
                      </wps:wsp>
                      <wps:wsp>
                        <wps:cNvPr id="5" name="文本框 4"/>
                        <wps:cNvSpPr txBox="1"/>
                        <wps:spPr>
                          <a:xfrm>
                            <a:off x="4728" y="7571"/>
                            <a:ext cx="663" cy="31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eastAsia="方正仿宋简体"/>
                                  <w:szCs w:val="21"/>
                                </w:rPr>
                              </w:pPr>
                              <w:r>
                                <w:rPr>
                                  <w:rFonts w:hint="eastAsia" w:ascii="仿宋" w:hAnsi="仿宋" w:eastAsia="仿宋" w:cs="仿宋"/>
                                  <w:szCs w:val="21"/>
                                </w:rPr>
                                <w:t>局相关职能处室</w:t>
                              </w:r>
                            </w:p>
                          </w:txbxContent>
                        </wps:txbx>
                        <wps:bodyPr vert="eaVert" upright="1"/>
                      </wps:wsp>
                      <wps:wsp>
                        <wps:cNvPr id="6" name="文本框 5"/>
                        <wps:cNvSpPr txBox="1"/>
                        <wps:spPr>
                          <a:xfrm>
                            <a:off x="11064" y="7577"/>
                            <a:ext cx="663" cy="31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 w:hAnsi="仿宋" w:eastAsia="仿宋" w:cs="仿宋"/>
                                  <w:szCs w:val="21"/>
                                </w:rPr>
                              </w:pPr>
                              <w:r>
                                <w:rPr>
                                  <w:rFonts w:hint="eastAsia" w:ascii="仿宋" w:hAnsi="仿宋" w:eastAsia="仿宋" w:cs="仿宋"/>
                                  <w:szCs w:val="21"/>
                                </w:rPr>
                                <w:t>港口各企业</w:t>
                              </w:r>
                            </w:p>
                          </w:txbxContent>
                        </wps:txbx>
                        <wps:bodyPr vert="eaVert" upright="1"/>
                      </wps:wsp>
                      <wps:wsp>
                        <wps:cNvPr id="7" name="文本框 6"/>
                        <wps:cNvSpPr txBox="1"/>
                        <wps:spPr>
                          <a:xfrm>
                            <a:off x="9527" y="7572"/>
                            <a:ext cx="663" cy="31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 w:hAnsi="仿宋" w:eastAsia="仿宋" w:cs="仿宋"/>
                                  <w:szCs w:val="21"/>
                                </w:rPr>
                              </w:pPr>
                              <w:r>
                                <w:rPr>
                                  <w:rFonts w:hint="eastAsia" w:ascii="仿宋" w:hAnsi="仿宋" w:eastAsia="仿宋" w:cs="仿宋"/>
                                  <w:szCs w:val="21"/>
                                </w:rPr>
                                <w:t>各区交通运输主管部门</w:t>
                              </w:r>
                            </w:p>
                          </w:txbxContent>
                        </wps:txbx>
                        <wps:bodyPr vert="eaVert" upright="1"/>
                      </wps:wsp>
                      <wps:wsp>
                        <wps:cNvPr id="8" name="文本框 7"/>
                        <wps:cNvSpPr txBox="1"/>
                        <wps:spPr>
                          <a:xfrm>
                            <a:off x="6292" y="7581"/>
                            <a:ext cx="663" cy="31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 w:hAnsi="仿宋" w:eastAsia="仿宋" w:cs="仿宋"/>
                                  <w:szCs w:val="21"/>
                                </w:rPr>
                              </w:pPr>
                              <w:r>
                                <w:rPr>
                                  <w:rFonts w:hint="eastAsia" w:ascii="仿宋" w:hAnsi="仿宋" w:eastAsia="仿宋" w:cs="仿宋"/>
                                  <w:szCs w:val="21"/>
                                </w:rPr>
                                <w:t>南京交通运输综合应急指挥中心</w:t>
                              </w:r>
                            </w:p>
                          </w:txbxContent>
                        </wps:txbx>
                        <wps:bodyPr vert="eaVert" upright="1"/>
                      </wps:wsp>
                      <wps:wsp>
                        <wps:cNvPr id="9" name="直接连接符 8"/>
                        <wps:cNvCnPr>
                          <a:endCxn id="25" idx="0"/>
                        </wps:cNvCnPr>
                        <wps:spPr>
                          <a:xfrm>
                            <a:off x="5095" y="7040"/>
                            <a:ext cx="6287" cy="1"/>
                          </a:xfrm>
                          <a:prstGeom prst="line">
                            <a:avLst/>
                          </a:prstGeom>
                          <a:ln w="9525" cap="flat" cmpd="sng">
                            <a:solidFill>
                              <a:srgbClr val="000000"/>
                            </a:solidFill>
                            <a:prstDash val="solid"/>
                            <a:headEnd type="none" w="med" len="med"/>
                            <a:tailEnd type="none" w="med" len="med"/>
                          </a:ln>
                          <a:effectLst/>
                        </wps:spPr>
                        <wps:bodyPr upright="1"/>
                      </wps:wsp>
                      <wps:wsp>
                        <wps:cNvPr id="10" name="直接连接符 9"/>
                        <wps:cNvCnPr>
                          <a:endCxn id="25" idx="0"/>
                        </wps:cNvCnPr>
                        <wps:spPr>
                          <a:xfrm>
                            <a:off x="5108" y="7040"/>
                            <a:ext cx="1" cy="541"/>
                          </a:xfrm>
                          <a:prstGeom prst="line">
                            <a:avLst/>
                          </a:prstGeom>
                          <a:ln w="9525" cap="flat" cmpd="sng">
                            <a:solidFill>
                              <a:srgbClr val="000000"/>
                            </a:solidFill>
                            <a:prstDash val="solid"/>
                            <a:headEnd type="none" w="med" len="med"/>
                            <a:tailEnd type="triangle" w="med" len="med"/>
                          </a:ln>
                          <a:effectLst/>
                        </wps:spPr>
                        <wps:bodyPr upright="1"/>
                      </wps:wsp>
                      <wps:wsp>
                        <wps:cNvPr id="11" name="直接连接符 10"/>
                        <wps:cNvCnPr>
                          <a:endCxn id="25" idx="0"/>
                        </wps:cNvCnPr>
                        <wps:spPr>
                          <a:xfrm>
                            <a:off x="9858" y="7045"/>
                            <a:ext cx="1" cy="541"/>
                          </a:xfrm>
                          <a:prstGeom prst="line">
                            <a:avLst/>
                          </a:prstGeom>
                          <a:ln w="9525" cap="flat" cmpd="sng">
                            <a:solidFill>
                              <a:srgbClr val="000000"/>
                            </a:solidFill>
                            <a:prstDash val="solid"/>
                            <a:headEnd type="none" w="med" len="med"/>
                            <a:tailEnd type="triangle" w="med" len="med"/>
                          </a:ln>
                          <a:effectLst/>
                        </wps:spPr>
                        <wps:bodyPr upright="1"/>
                      </wps:wsp>
                      <wps:wsp>
                        <wps:cNvPr id="12" name="直接连接符 11"/>
                        <wps:cNvCnPr>
                          <a:endCxn id="25" idx="0"/>
                        </wps:cNvCnPr>
                        <wps:spPr>
                          <a:xfrm>
                            <a:off x="11388" y="7035"/>
                            <a:ext cx="1" cy="541"/>
                          </a:xfrm>
                          <a:prstGeom prst="line">
                            <a:avLst/>
                          </a:prstGeom>
                          <a:ln w="9525" cap="flat" cmpd="sng">
                            <a:solidFill>
                              <a:srgbClr val="000000"/>
                            </a:solidFill>
                            <a:prstDash val="solid"/>
                            <a:headEnd type="none" w="med" len="med"/>
                            <a:tailEnd type="triangle" w="med" len="med"/>
                          </a:ln>
                          <a:effectLst/>
                        </wps:spPr>
                        <wps:bodyPr upright="1"/>
                      </wps:wsp>
                      <wps:wsp>
                        <wps:cNvPr id="13" name="文本框 12"/>
                        <wps:cNvSpPr txBox="1"/>
                        <wps:spPr>
                          <a:xfrm>
                            <a:off x="4745" y="5309"/>
                            <a:ext cx="2551" cy="8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方正仿宋_GBK"/>
                                  <w:szCs w:val="21"/>
                                </w:rPr>
                              </w:pPr>
                              <w:r>
                                <w:rPr>
                                  <w:rFonts w:hint="eastAsia" w:eastAsia="方正仿宋_GBK"/>
                                  <w:szCs w:val="21"/>
                                </w:rPr>
                                <w:t>港口突发事件应急指挥部办公室</w:t>
                              </w:r>
                            </w:p>
                          </w:txbxContent>
                        </wps:txbx>
                        <wps:bodyPr lIns="91440" tIns="107999" rIns="91440" bIns="45720" upright="1"/>
                      </wps:wsp>
                      <wps:wsp>
                        <wps:cNvPr id="14" name="直接连接符 13"/>
                        <wps:cNvCnPr>
                          <a:endCxn id="25" idx="0"/>
                        </wps:cNvCnPr>
                        <wps:spPr>
                          <a:xfrm>
                            <a:off x="8271" y="3124"/>
                            <a:ext cx="1" cy="803"/>
                          </a:xfrm>
                          <a:prstGeom prst="line">
                            <a:avLst/>
                          </a:prstGeom>
                          <a:ln w="9525" cap="flat" cmpd="sng">
                            <a:solidFill>
                              <a:srgbClr val="000000"/>
                            </a:solidFill>
                            <a:prstDash val="solid"/>
                            <a:headEnd type="none" w="med" len="med"/>
                            <a:tailEnd type="triangle" w="med" len="med"/>
                          </a:ln>
                          <a:effectLst/>
                        </wps:spPr>
                        <wps:bodyPr upright="1"/>
                      </wps:wsp>
                      <wps:wsp>
                        <wps:cNvPr id="15" name="直接连接符 14"/>
                        <wps:cNvCnPr>
                          <a:endCxn id="25" idx="0"/>
                        </wps:cNvCnPr>
                        <wps:spPr>
                          <a:xfrm>
                            <a:off x="6623" y="7056"/>
                            <a:ext cx="1" cy="541"/>
                          </a:xfrm>
                          <a:prstGeom prst="line">
                            <a:avLst/>
                          </a:prstGeom>
                          <a:ln w="9525" cap="flat" cmpd="sng">
                            <a:solidFill>
                              <a:srgbClr val="000000"/>
                            </a:solidFill>
                            <a:prstDash val="solid"/>
                            <a:headEnd type="none" w="med" len="med"/>
                            <a:tailEnd type="triangle" w="med" len="med"/>
                          </a:ln>
                          <a:effectLst/>
                        </wps:spPr>
                        <wps:bodyPr upright="1"/>
                      </wps:wsp>
                      <wps:wsp>
                        <wps:cNvPr id="16" name="直接连接符 15"/>
                        <wps:cNvCnPr>
                          <a:endCxn id="25" idx="0"/>
                        </wps:cNvCnPr>
                        <wps:spPr>
                          <a:xfrm>
                            <a:off x="8266" y="7035"/>
                            <a:ext cx="1" cy="541"/>
                          </a:xfrm>
                          <a:prstGeom prst="line">
                            <a:avLst/>
                          </a:prstGeom>
                          <a:ln w="9525" cap="flat" cmpd="sng">
                            <a:solidFill>
                              <a:srgbClr val="000000"/>
                            </a:solidFill>
                            <a:prstDash val="solid"/>
                            <a:headEnd type="none" w="med" len="med"/>
                            <a:tailEnd type="triangle" w="med" len="med"/>
                          </a:ln>
                          <a:effectLst/>
                        </wps:spPr>
                        <wps:bodyPr upright="1"/>
                      </wps:wsp>
                      <wps:wsp>
                        <wps:cNvPr id="17" name="直接连接符 16"/>
                        <wps:cNvCnPr>
                          <a:endCxn id="25" idx="0"/>
                        </wps:cNvCnPr>
                        <wps:spPr>
                          <a:xfrm flipH="1">
                            <a:off x="7309" y="5714"/>
                            <a:ext cx="957" cy="1"/>
                          </a:xfrm>
                          <a:prstGeom prst="line">
                            <a:avLst/>
                          </a:prstGeom>
                          <a:ln w="9525" cap="flat" cmpd="sng">
                            <a:solidFill>
                              <a:srgbClr val="000000"/>
                            </a:solidFill>
                            <a:prstDash val="solid"/>
                            <a:headEnd type="none" w="med" len="med"/>
                            <a:tailEnd type="triangle" w="med" len="med"/>
                          </a:ln>
                          <a:effectLst/>
                        </wps:spPr>
                        <wps:bodyPr upright="1"/>
                      </wps:wsp>
                      <wps:wsp>
                        <wps:cNvPr id="18" name="直接连接符 17"/>
                        <wps:cNvCnPr>
                          <a:endCxn id="25" idx="0"/>
                        </wps:cNvCnPr>
                        <wps:spPr>
                          <a:xfrm>
                            <a:off x="8270" y="4880"/>
                            <a:ext cx="1" cy="2153"/>
                          </a:xfrm>
                          <a:prstGeom prst="line">
                            <a:avLst/>
                          </a:prstGeom>
                          <a:ln w="9525"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25.5pt;margin-top:6pt;height:426.35pt;width:349.9pt;z-index:251660288;mso-width-relative:page;mso-height-relative:page;" coordorigin="4728,2232" coordsize="6998,8527" o:gfxdata="UEsDBAoAAAAAAIdO4kAAAAAAAAAAAAAAAAAEAAAAZHJzL1BLAwQUAAAACACHTuJASaBmt9oAAAAJ&#10;AQAADwAAAGRycy9kb3ducmV2LnhtbE2PQWvCQBCF74X+h2WE3upubKMSs5EibU9SqBZKb2t2TILZ&#10;2ZBdE/33nZ7qaZh5jzffy9cX14oB+9B40pBMFQik0tuGKg1f+7fHJYgQDVnTekINVwywLu7vcpNZ&#10;P9InDrtYCQ6hkBkNdYxdJmUoa3QmTH2HxNrR985EXvtK2t6MHO5aOVNqLp1piD/UpsNNjeVpd3Ya&#10;3kczvjwlr8P2dNxcf/bpx/c2Qa0fJolagYh4if9m+MNndCiY6eDPZINoNaQJV4l8n/FkfZEqrnLQ&#10;sJw/L0AWubxtUPwCUEsDBBQAAAAIAIdO4kC8Z59yPwUAAKkrAAAOAAAAZHJzL2Uyb0RvYy54bWzt&#10;mktv60QUx/dIfAfLexq/H1HTK9HeFiQEV7rAfmpPYkt+acZt0j0CVogVGxASC1jdJTsWfBpaPgb/&#10;GTuOaydqlIbb3F53kfoxHs+c+fmcM/+Z4xeLNFGuKeNxnk1U/UhTFZoFeRhns4n61ZfnH3mqwkuS&#10;hSTJMzpRbyhXX5x8+MHxvBhTI4/yJKRMQSUZH8+LiRqVZTEejXgQ0ZTwo7ygGW5Oc5aSEqdsNgoZ&#10;maP2NBkZmuaM5jkLC5YHlHNcPatuqnWNbJsK8+k0DuhZHlylNCurWhlNSIku8SguuHoiWzud0qD8&#10;YjrltFSSiYqelvIXL8HxpfgdnRyT8YyRIoqDuglkmyZ0+pSSOMNLm6rOSEmUKxb3qkrjgOU8n5ZH&#10;QZ6Oqo5Ii6AXutaxzQXLrwrZl9l4Pisao2OgOlbfudrg8+tXTIlDkOCrSkZSjPjdX9/88+P3Ci7A&#10;OvNiNkahC1a8Ll6x+sKsOhMdXkxZKv6jK8oCtZiaZfiw7g2ODdN1dLuyMV2USoAClmWZrokCAUrY&#10;lm45Vl0iiDBUog7LNcAgbhuGaVRPB9HL+nnH93FTPOzZhivujlaNoHLEP+OluCxa3jR0XoBWvjIh&#10;f5wJX0ekoHJkuLBObUJjacHbn767/eXN7W/fKrpooXg5SgkDKuXi41zYaXmd4+IaO9qeZ3Zs0FjQ&#10;1XBLWsCT5mkZoGC8vKB5qoiDicrAv8SSXNdGIeNlEfFSnidxeB4niTxhs8vThCnXBN/KufyrzXuv&#10;WJIp84nq24aNRhA4gCk+PBymBSDi2Uy+794TvF2xJv/WVSwadkZ4VDVA1iCKkXEal5TJo4iS8GUW&#10;KuVNAU4z+CdVNCaloaokFO5MHMmSJYmTbUrCdkkmXtJBh4+rgRFDVy4uF/UoXubhDQYx+TQDQL5u&#10;WcKnyBNdc30fnxBr37qUJ5btGih3VbB4FmFU5NgDT0lkRcf/jiaIqT7uFZqSnZ3QdKvP0/R1p7J2&#10;H03flb51QHNAcxXr13tNq4+mKbDaAU3X1ys0XduTsQHf9TJuOLXTNHVXVj+g+bbRRNIJ70fJ1/j/&#10;xO4QsavrDq0dmWuyFdd2pWcfmEM4PZRIfUDMOX3mZOa7g5/Tdc2B20QSDOgGR3do6eEBQef2oZM5&#10;2w7QIeVHbRVz9bRsCK6Do+tPg5GCdYOr9FE7MOcYPibVkjlvCK6Dn4NguH4SsRKvfv7z9off//37&#10;V/zevflD8Vpp3WlWaS00C08XmVS9hIoRhxBkqulqjWhVUJxskmc0Hw8KLjVIAFJxaHyhgamHlGeq&#10;ef5KnVoqL7U4k8SQL4T0sEGceftCy9MkbbWm8qTyiA59phY/O/zUIqgU8PbIj67VE9UeP3oFD6RR&#10;wdXmWerzwadkMclmyQYtbxuF7iAQwsCtRwhwreSM/THke3bDUEdkHxi6rwe/Mww1Kwh3HTekS29w&#10;LzxBZ3h0HNN101tCZA4QPQ9HtEbr13cV+y0Xy3Mi0bFNTYbClbpl2HbtZzxHzik3x6phHeqhFatt&#10;PNRzWIfSG7W/5+Haov/+oqRnQJUVAJu6ISXeFcBLerGcOmRalQUeXAs9iEwLHmlDptUW8ffHkOMY&#10;8Klytmd3VjyHTOsdzbQaNb7nh9qi/P4Y8gwEyYqhIdF6JjO+RlzvMdTW2B/JkDJN4uITsWtEaEX1&#10;NivsoILiJdIyFxEVvnsV1Xz7fZOfnglNjWzeo6mtnj+SphZDyIygeoEhy/M6GmYd1Qzdfm9So82b&#10;ybZJzR9Ii+ReROzglHpevdtUbBFtn8sdi6sdti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IHAABbQ29udGVudF9UeXBlc10ueG1sUEsBAhQA&#10;CgAAAAAAh07iQAAAAAAAAAAAAAAAAAYAAAAAAAAAAAAQAAAAlAYAAF9yZWxzL1BLAQIUABQAAAAI&#10;AIdO4kCKFGY80QAAAJQBAAALAAAAAAAAAAEAIAAAALgGAABfcmVscy8ucmVsc1BLAQIUAAoAAAAA&#10;AIdO4kAAAAAAAAAAAAAAAAAEAAAAAAAAAAAAEAAAAAAAAABkcnMvUEsBAhQAFAAAAAgAh07iQEmg&#10;ZrfaAAAACQEAAA8AAAAAAAAAAQAgAAAAIgAAAGRycy9kb3ducmV2LnhtbFBLAQIUABQAAAAIAIdO&#10;4kC8Z59yPwUAAKkrAAAOAAAAAAAAAAEAIAAAACkBAABkcnMvZTJvRG9jLnhtbFBLBQYAAAAABgAG&#10;AFkBAADaCAAAAAA=&#10;">
                <o:lock v:ext="edit" aspectratio="f"/>
                <v:shape id="文本框 1" o:spid="_x0000_s1026" o:spt="202" type="#_x0000_t202" style="position:absolute;left:5883;top:2232;height:882;width:4703;" fillcolor="#FFFFFF" filled="t" stroked="t" coordsize="21600,21600" o:gfxdata="UEsFBgAAAAAAAAAAAAAAAAAAAAAAAFBLAwQKAAAAAACHTuJAAAAAAAAAAAAAAAAABAAAAGRycy9Q&#10;SwMEFAAAAAgAh07iQBgLYM25AAAA2gAAAA8AAABkcnMvZG93bnJldi54bWxFT02LwjAQvS/4H8II&#10;3tZUDyJdoxRREETQ7sLibUhm2+42k9BEq//eCMKehsf7nMXqZltxpS40jhVMxhkIYu1Mw5WCr8/t&#10;+xxEiMgGW8ek4E4BVsvB2wJz43o+0bWMlUghHHJUUMfocymDrsliGDtPnLgf11mMCXaVNB32Kdy2&#10;cpplM2mx4dRQo6d1TfqvvFgFhS90+X0+ak37zXl9/C38oe+VGg0n2QeISLf4L365dybNh+crzyuX&#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YC2DNuQAAANoAAAAPAAAAAAAAAAEAIAAAADgAAABkcnMvZG93bnJldi54bWxQ&#10;SwECFAAUAAAACACHTuJAMy8FnjsAAAA5AAAAEAAAAAAAAAABACAAAAAeAQAAZHJzL3NoYXBleG1s&#10;LnhtbFBLBQYAAAAABgAGAFsBAADIAwAAAAA=&#10;">
                  <v:fill on="t" focussize="0,0"/>
                  <v:stroke color="#000000" joinstyle="miter"/>
                  <v:imagedata o:title=""/>
                  <o:lock v:ext="edit" aspectratio="f"/>
                  <v:textbox inset="2.54mm,8.50385826771654pt,2.54mm,1.27mm">
                    <w:txbxContent>
                      <w:p>
                        <w:pPr>
                          <w:jc w:val="center"/>
                          <w:rPr>
                            <w:rFonts w:hint="eastAsia" w:eastAsia="方正仿宋_GBK"/>
                            <w:szCs w:val="21"/>
                            <w:lang w:val="en"/>
                          </w:rPr>
                        </w:pPr>
                        <w:r>
                          <w:rPr>
                            <w:rFonts w:hint="eastAsia" w:eastAsia="方正仿宋_GBK"/>
                            <w:szCs w:val="21"/>
                            <w:lang w:val="en"/>
                          </w:rPr>
                          <w:t>局港口突发事件应急指挥部</w:t>
                        </w:r>
                      </w:p>
                    </w:txbxContent>
                  </v:textbox>
                </v:shape>
                <v:shape id="文本框 2" o:spid="_x0000_s1026" o:spt="202" type="#_x0000_t202" style="position:absolute;left:5878;top:3916;height:970;width:4703;" fillcolor="#FFFFFF" filled="t" stroked="t" coordsize="21600,21600" o:gfxdata="UEsFBgAAAAAAAAAAAAAAAAAAAAAAAFBLAwQKAAAAAACHTuJAAAAAAAAAAAAAAAAABAAAAGRycy9Q&#10;SwMEFAAAAAgAh07iQOjZ/rq8AAAA2gAAAA8AAABkcnMvZG93bnJldi54bWxFj0FrAjEUhO8F/0N4&#10;Qm/drB6KbI2yiEJBBF0F8fZIXne33byETerqvzeFgsdhZr5h5sub7cSV+tA6VjDJchDE2pmWawWn&#10;4+ZtBiJEZIOdY1JwpwDLxehljoVxAx/oWsVaJAiHAhU0MfpCyqAbshgy54mT9+V6izHJvpamxyHB&#10;bSenef4uLbacFhr0tGpI/1S/VkHpS12dL3utabu+rPbfpd8Ng1Kv40n+ASLSLT7D/+1Po2AKf1fS&#10;DZCL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o2f66vAAAANoAAAAPAAAAAAAAAAEAIAAAADgAAABkcnMvZG93bnJldi54&#10;bWxQSwECFAAUAAAACACHTuJAMy8FnjsAAAA5AAAAEAAAAAAAAAABACAAAAAhAQAAZHJzL3NoYXBl&#10;eG1sLnhtbFBLBQYAAAAABgAGAFsBAADLAwAAAAA=&#10;">
                  <v:fill on="t" focussize="0,0"/>
                  <v:stroke color="#000000" joinstyle="miter"/>
                  <v:imagedata o:title=""/>
                  <o:lock v:ext="edit" aspectratio="f"/>
                  <v:textbox inset="2.54mm,8.50385826771654pt,2.54mm,1.27mm">
                    <w:txbxContent>
                      <w:p>
                        <w:pPr>
                          <w:jc w:val="center"/>
                          <w:rPr>
                            <w:rFonts w:hint="eastAsia" w:eastAsia="方正仿宋_GBK"/>
                            <w:szCs w:val="21"/>
                          </w:rPr>
                        </w:pPr>
                        <w:r>
                          <w:rPr>
                            <w:rFonts w:hint="eastAsia" w:eastAsia="方正仿宋_GBK"/>
                            <w:szCs w:val="21"/>
                          </w:rPr>
                          <w:t>指挥长：市交通运输局主要领导</w:t>
                        </w:r>
                      </w:p>
                      <w:p>
                        <w:pPr>
                          <w:jc w:val="center"/>
                          <w:rPr>
                            <w:rFonts w:hint="eastAsia" w:eastAsia="方正仿宋_GBK"/>
                            <w:szCs w:val="21"/>
                          </w:rPr>
                        </w:pPr>
                        <w:r>
                          <w:rPr>
                            <w:rFonts w:hint="eastAsia" w:eastAsia="方正仿宋_GBK"/>
                            <w:szCs w:val="21"/>
                          </w:rPr>
                          <w:t>副指挥长：市交通运输局分管领导</w:t>
                        </w:r>
                      </w:p>
                    </w:txbxContent>
                  </v:textbox>
                </v:shape>
                <v:shape id="文本框 3" o:spid="_x0000_s1026" o:spt="202" type="#_x0000_t202" style="position:absolute;left:7918;top:7587;height:3173;width:663;" fillcolor="#FFFFFF" filled="t" stroked="t" coordsize="21600,21600" o:gfxdata="UEsFBgAAAAAAAAAAAAAAAAAAAAAAAFBLAwQKAAAAAACHTuJAAAAAAAAAAAAAAAAABAAAAGRycy9Q&#10;SwMEFAAAAAgAh07iQFquQtO9AAAA2gAAAA8AAABkcnMvZG93bnJldi54bWxFj8FqwzAQRO+F/oPY&#10;QC+lkd1AEtzIPhQHcqmpk/S+WFvbxFoZSXHcv48KhR6HmXnD7IrZDGIi53vLCtJlAoK4sbrnVsH5&#10;tH/ZgvABWeNgmRT8kIcif3zYYabtjWuajqEVEcI+QwVdCGMmpW86MuiXdiSO3rd1BkOUrpXa4S3C&#10;zSBfk2QtDfYcFzoc6b2j5nK8GgXz+vT8sanDptxW01xJ3Jef7kupp0WavIEINIf/8F/7oBWs4PdK&#10;vAEyv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q5C07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style="layout-flow:vertical-ideographic;">
                    <w:txbxContent>
                      <w:p>
                        <w:pPr>
                          <w:jc w:val="center"/>
                          <w:rPr>
                            <w:rFonts w:hint="eastAsia" w:ascii="仿宋" w:hAnsi="仿宋" w:eastAsia="仿宋" w:cs="仿宋"/>
                            <w:szCs w:val="21"/>
                          </w:rPr>
                        </w:pPr>
                        <w:r>
                          <w:rPr>
                            <w:rFonts w:hint="eastAsia" w:ascii="仿宋" w:hAnsi="仿宋" w:eastAsia="仿宋" w:cs="仿宋"/>
                            <w:szCs w:val="21"/>
                          </w:rPr>
                          <w:t>市交通运输综合行政执法监督局</w:t>
                        </w:r>
                      </w:p>
                    </w:txbxContent>
                  </v:textbox>
                </v:shape>
                <v:shape id="文本框 4" o:spid="_x0000_s1026" o:spt="202" type="#_x0000_t202" style="position:absolute;left:4728;top:7571;height:3173;width:663;" fillcolor="#FFFFFF" filled="t" stroked="t" coordsize="21600,21600" o:gfxdata="UEsFBgAAAAAAAAAAAAAAAAAAAAAAAFBLAwQKAAAAAACHTuJAAAAAAAAAAAAAAAAABAAAAGRycy9Q&#10;SwMEFAAAAAgAh07iQNVH2qe9AAAA2gAAAA8AAABkcnMvZG93bnJldi54bWxFj8FqwzAQRO+F/oPY&#10;QC+lkV1CEtzIPhQHcqmpk/S+WFvbxFoZSXHcv48KhR6HmXnD7IrZDGIi53vLCtJlAoK4sbrnVsH5&#10;tH/ZgvABWeNgmRT8kIcif3zYYabtjWuajqEVEcI+QwVdCGMmpW86MuiXdiSO3rd1BkOUrpXa4S3C&#10;zSBfk2QtDfYcFzoc6b2j5nK8GgXz+vT8sanDptxW01xJ3Jef7kupp0WavIEINIf/8F/7oBWs4PdK&#10;vAEyv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Ufap7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style="layout-flow:vertical-ideographic;">
                    <w:txbxContent>
                      <w:p>
                        <w:pPr>
                          <w:jc w:val="center"/>
                          <w:rPr>
                            <w:rFonts w:eastAsia="方正仿宋简体"/>
                            <w:szCs w:val="21"/>
                          </w:rPr>
                        </w:pPr>
                        <w:r>
                          <w:rPr>
                            <w:rFonts w:hint="eastAsia" w:ascii="仿宋" w:hAnsi="仿宋" w:eastAsia="仿宋" w:cs="仿宋"/>
                            <w:szCs w:val="21"/>
                          </w:rPr>
                          <w:t>局相关职能处室</w:t>
                        </w:r>
                      </w:p>
                    </w:txbxContent>
                  </v:textbox>
                </v:shape>
                <v:shape id="文本框 5" o:spid="_x0000_s1026" o:spt="202" type="#_x0000_t202" style="position:absolute;left:11064;top:7577;height:3173;width:663;" fillcolor="#FFFFFF" filled="t" stroked="t" coordsize="21600,21600" o:gfxdata="UEsFBgAAAAAAAAAAAAAAAAAAAAAAAFBLAwQKAAAAAACHTuJAAAAAAAAAAAAAAAAABAAAAGRycy9Q&#10;SwMEFAAAAAgAh07iQLoLfzy9AAAA2gAAAA8AAABkcnMvZG93bnJldi54bWxFj81qwzAQhO+FvoPY&#10;QC+lkV3ID25kH4oDudTUSXpfrK1tYq2MpDju20eFQo/DzHzD7IrZDGIi53vLCtJlAoK4sbrnVsH5&#10;tH/ZgvABWeNgmRT8kIcif3zYYabtjWuajqEVEcI+QwVdCGMmpW86MuiXdiSO3rd1BkOUrpXa4S3C&#10;zSBfk2QtDfYcFzoc6b2j5nK8GgXz+vT8sanDptxW01xJ3Jef7kupp0WavIEINIf/8F/7oBWs4PdK&#10;vAEyv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gt/PL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style="layout-flow:vertical-ideographic;">
                    <w:txbxContent>
                      <w:p>
                        <w:pPr>
                          <w:jc w:val="center"/>
                          <w:rPr>
                            <w:rFonts w:hint="eastAsia" w:ascii="仿宋" w:hAnsi="仿宋" w:eastAsia="仿宋" w:cs="仿宋"/>
                            <w:szCs w:val="21"/>
                          </w:rPr>
                        </w:pPr>
                        <w:r>
                          <w:rPr>
                            <w:rFonts w:hint="eastAsia" w:ascii="仿宋" w:hAnsi="仿宋" w:eastAsia="仿宋" w:cs="仿宋"/>
                            <w:szCs w:val="21"/>
                          </w:rPr>
                          <w:t>港口各企业</w:t>
                        </w:r>
                      </w:p>
                    </w:txbxContent>
                  </v:textbox>
                </v:shape>
                <v:shape id="文本框 6" o:spid="_x0000_s1026" o:spt="202" type="#_x0000_t202" style="position:absolute;left:9527;top:7572;height:3173;width:663;" fillcolor="#FFFFFF" filled="t" stroked="t" coordsize="21600,21600" o:gfxdata="UEsFBgAAAAAAAAAAAAAAAAAAAAAAAFBLAwQKAAAAAACHTuJAAAAAAAAAAAAAAAAABAAAAGRycy9Q&#10;SwMEFAAAAAgAh07iQErZ4Uu6AAAA2gAAAA8AAABkcnMvZG93bnJldi54bWxFj82qwjAUhPeC7xCO&#10;4EY01UWVanQhCndz5fq3PzTHtticlCTW+vbmguBymJlvmNWmM7VoyfnKsoLpJAFBnFtdcaHgct6P&#10;FyB8QNZYWyYFL/KwWfd7K8y0ffKR2lMoRISwz1BBGUKTSenzkgz6iW2Io3ezzmCI0hVSO3xGuKnl&#10;LElSabDiuFBiQ9uS8vvpYRR06Xn0Oz+G+W5xaLuDxP3uz12VGg6myRJEoC58w5/2j1aQwv+VeAPk&#10;+g1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tnhS7oAAADaAAAADwAAAAAAAAABACAAAAA4AAAAZHJzL2Rvd25yZXYueG1s&#10;UEsBAhQAFAAAAAgAh07iQDMvBZ47AAAAOQAAABAAAAAAAAAAAQAgAAAAHwEAAGRycy9zaGFwZXht&#10;bC54bWxQSwUGAAAAAAYABgBbAQAAyQMAAAAA&#10;">
                  <v:fill on="t" focussize="0,0"/>
                  <v:stroke color="#000000" joinstyle="miter"/>
                  <v:imagedata o:title=""/>
                  <o:lock v:ext="edit" aspectratio="f"/>
                  <v:textbox style="layout-flow:vertical-ideographic;">
                    <w:txbxContent>
                      <w:p>
                        <w:pPr>
                          <w:jc w:val="center"/>
                          <w:rPr>
                            <w:rFonts w:hint="eastAsia" w:ascii="仿宋" w:hAnsi="仿宋" w:eastAsia="仿宋" w:cs="仿宋"/>
                            <w:szCs w:val="21"/>
                          </w:rPr>
                        </w:pPr>
                        <w:r>
                          <w:rPr>
                            <w:rFonts w:hint="eastAsia" w:ascii="仿宋" w:hAnsi="仿宋" w:eastAsia="仿宋" w:cs="仿宋"/>
                            <w:szCs w:val="21"/>
                          </w:rPr>
                          <w:t>各区交通运输主管部门</w:t>
                        </w:r>
                      </w:p>
                    </w:txbxContent>
                  </v:textbox>
                </v:shape>
                <v:shape id="文本框 7" o:spid="_x0000_s1026" o:spt="202" type="#_x0000_t202" style="position:absolute;left:6292;top:7581;height:3173;width:663;" fillcolor="#FFFFFF" filled="t" stroked="t" coordsize="21600,21600" o:gfxdata="UEsFBgAAAAAAAAAAAAAAAAAAAAAAAFBLAwQKAAAAAACHTuJAAAAAAAAAAAAAAAAABAAAAGRycy9Q&#10;SwMEFAAAAAgAh07iQCWVRNC6AAAA2gAAAA8AAABkcnMvZG93bnJldi54bWxFj82qwjAUhPeC7xCO&#10;4EY01YWVanQhCndz5fq3PzTHtticlCTW+vbmguBymJlvmNWmM7VoyfnKsoLpJAFBnFtdcaHgct6P&#10;FyB8QNZYWyYFL/KwWfd7K8y0ffKR2lMoRISwz1BBGUKTSenzkgz6iW2Io3ezzmCI0hVSO3xGuKnl&#10;LEnm0mDFcaHEhrYl5ffTwyjo5ufRb3oM6W5xaLuDxP3uz12VGg6myRJEoC58w5/2j1aQwv+VeAPk&#10;+g1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JZVE0LoAAADaAAAADwAAAAAAAAABACAAAAA4AAAAZHJzL2Rvd25yZXYueG1s&#10;UEsBAhQAFAAAAAgAh07iQDMvBZ47AAAAOQAAABAAAAAAAAAAAQAgAAAAHwEAAGRycy9zaGFwZXht&#10;bC54bWxQSwUGAAAAAAYABgBbAQAAyQMAAAAA&#10;">
                  <v:fill on="t" focussize="0,0"/>
                  <v:stroke color="#000000" joinstyle="miter"/>
                  <v:imagedata o:title=""/>
                  <o:lock v:ext="edit" aspectratio="f"/>
                  <v:textbox style="layout-flow:vertical-ideographic;">
                    <w:txbxContent>
                      <w:p>
                        <w:pPr>
                          <w:jc w:val="center"/>
                          <w:rPr>
                            <w:rFonts w:hint="eastAsia" w:ascii="仿宋" w:hAnsi="仿宋" w:eastAsia="仿宋" w:cs="仿宋"/>
                            <w:szCs w:val="21"/>
                          </w:rPr>
                        </w:pPr>
                        <w:r>
                          <w:rPr>
                            <w:rFonts w:hint="eastAsia" w:ascii="仿宋" w:hAnsi="仿宋" w:eastAsia="仿宋" w:cs="仿宋"/>
                            <w:szCs w:val="21"/>
                          </w:rPr>
                          <w:t>南京交通运输综合应急指挥中心</w:t>
                        </w:r>
                      </w:p>
                    </w:txbxContent>
                  </v:textbox>
                </v:shape>
                <v:line id="直接连接符 8" o:spid="_x0000_s1026" o:spt="20" style="position:absolute;left:5095;top:7040;height:1;width:6287;" filled="f" stroked="t" coordsize="21600,21600" o:gfxdata="UEsFBgAAAAAAAAAAAAAAAAAAAAAAAFBLAwQKAAAAAACHTuJAAAAAAAAAAAAAAAAABAAAAGRycy9Q&#10;SwMEFAAAAAgAh07iQGo6Jhm4AAAA2gAAAA8AAABkcnMvZG93bnJldi54bWxFT8uKwjAU3Q/4D+EK&#10;sxFNdGCQauxCLbhw4wu3l+baFpubtomP8evNYsDl4bzn6dPW4k6drxxrGI8UCOLcmYoLDcdDNpyC&#10;8AHZYO2YNPyRh3TR+5pjYtyDd3Tfh0LEEPYJaihDaBIpfV6SRT9yDXHkLq6zGCLsCmk6fMRwW8uJ&#10;Ur/SYsWxocSGliXl1/3NavDZidrsNcgH6vxTOJq0q+0atf7uj9UMRKBn+Ij/3RujIW6NV+INkIs3&#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Go6Jhm4AAAA2gAAAA8AAAAAAAAAAQAgAAAAOAAAAGRycy9kb3ducmV2LnhtbFBL&#10;AQIUABQAAAAIAIdO4kAzLwWeOwAAADkAAAAQAAAAAAAAAAEAIAAAAB0BAABkcnMvc2hhcGV4bWwu&#10;eG1sUEsFBgAAAAAGAAYAWwEAAMcDAAAAAA==&#10;">
                  <v:fill on="f" focussize="0,0"/>
                  <v:stroke color="#000000" joinstyle="round"/>
                  <v:imagedata o:title=""/>
                  <o:lock v:ext="edit" aspectratio="f"/>
                </v:line>
                <v:line id="直接连接符 9" o:spid="_x0000_s1026" o:spt="20" style="position:absolute;left:5108;top:7040;height:541;width:1;" filled="f" stroked="t" coordsize="21600,21600" o:gfxdata="UEsFBgAAAAAAAAAAAAAAAAAAAAAAAFBLAwQKAAAAAACHTuJAAAAAAAAAAAAAAAAABAAAAGRycy9Q&#10;SwMEFAAAAAgAh07iQIc09Bi+AAAA2gAAAA8AAABkcnMvZG93bnJldi54bWxFj0FrwkAUhO9C/8Py&#10;Cr3pJj2UmLrmIKQUtBZjKXp7ZJ9JaPZt2F01/fduQehxmJlvmEUxml5cyPnOsoJ0loAgrq3uuFHw&#10;tS+nGQgfkDX2lknBL3kolg+TBebaXnlHlyo0IkLY56igDWHIpfR1Swb9zA7E0TtZZzBE6RqpHV4j&#10;3PTyOUlepMGO40KLA61aqn+qs1Gw25Tr7Ht9Hmt3fEu3+8/Nx8FnSj09pskriEBj+A/f2+9awRz+&#10;rsQbIJc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c09Bi+AAAA2g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line id="直接连接符 10" o:spid="_x0000_s1026" o:spt="20" style="position:absolute;left:9858;top:7045;height:541;width:1;" filled="f" stroked="t" coordsize="21600,21600" o:gfxdata="UEsFBgAAAAAAAAAAAAAAAAAAAAAAAFBLAwQKAAAAAACHTuJAAAAAAAAAAAAAAAAABAAAAGRycy9Q&#10;SwMEFAAAAAgAh07iQGmp/Ku/AAAA2wAAAA8AAABkcnMvZG93bnJldi54bWxFj0FrwkAQhe+F/odl&#10;Cr3VTTyUEF09FCwFtaKRUm9DdkxCs7Nhd9X03zuHQm8zvDfvfTNfjq5XVwqx82wgn2SgiGtvO24M&#10;HKvVSwEqJmSLvWcy8EsRlovHhzmW1t94T9dDapSEcCzRQJvSUGod65YcxokfiEU7++AwyRoabQPe&#10;JNz1epplr9phx9LQ4kBvLdU/h4szsN+s1sXX+jLW4fSef1a7zfY7FsY8P+XZDFSiMf2b/64/rOAL&#10;vfwiA+jFH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pqfyr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直接连接符 11" o:spid="_x0000_s1026" o:spt="20" style="position:absolute;left:11388;top:7035;height:541;width:1;" filled="f" stroked="t" coordsize="21600,21600" o:gfxdata="UEsFBgAAAAAAAAAAAAAAAAAAAAAAAFBLAwQKAAAAAACHTuJAAAAAAAAAAAAAAAAABAAAAGRycy9Q&#10;SwMEFAAAAAgAh07iQAblWTC9AAAA2wAAAA8AAABkcnMvZG93bnJldi54bWxFT0trwkAQvhf6H5Yp&#10;9FY36UFC6upBsBTUSlSK3obsmIRmZ8Pu5tF/3xUKvc3H95zFajKtGMj5xrKCdJaAIC6tbrhScD5t&#10;XjIQPiBrbC2Tgh/ysFo+Piww13bkgoZjqEQMYZ+jgjqELpfSlzUZ9DPbEUfuZp3BEKGrpHY4xnDT&#10;ytckmUuDDceGGjta11R+H3ujoNhtttnXtp9Kd31PP0+H3f7iM6Wen9LkDUSgKfyL/9wfOs5P4f5L&#10;PEAuf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uVZML0AAADb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shape id="文本框 12" o:spid="_x0000_s1026" o:spt="202" type="#_x0000_t202" style="position:absolute;left:4745;top:5309;height:866;width:2551;" fillcolor="#FFFFFF" filled="t" stroked="t" coordsize="21600,21600" o:gfxdata="UEsFBgAAAAAAAAAAAAAAAAAAAAAAAFBLAwQKAAAAAACHTuJAAAAAAAAAAAAAAAAABAAAAGRycy9Q&#10;SwMEFAAAAAgAh07iQHH+oX27AAAA2wAAAA8AAABkcnMvZG93bnJldi54bWxFT99rwjAQfh/4P4QT&#10;9ram+jCkM0oRhYEIWgXx7UhubbfmEprM6n9vBgPf7uP7efPlzXbiSn1oHSuYZDkIYu1My7WC03Hz&#10;NgMRIrLBzjEpuFOA5WL0MsfCuIEPdK1iLVIIhwIVNDH6QsqgG7IYMueJE/fleosxwb6WpschhdtO&#10;TvP8XVpsOTU06GnVkP6pfq2C0pe6Ol/2WtN2fVntv0u/GwalXseT/ANEpFt8iv/dnybNn8LfL+kA&#10;uXg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H+oX2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inset="2.54mm,8.50385826771654pt,2.54mm,1.27mm">
                    <w:txbxContent>
                      <w:p>
                        <w:pPr>
                          <w:jc w:val="center"/>
                          <w:rPr>
                            <w:rFonts w:hint="eastAsia" w:eastAsia="方正仿宋_GBK"/>
                            <w:szCs w:val="21"/>
                          </w:rPr>
                        </w:pPr>
                        <w:r>
                          <w:rPr>
                            <w:rFonts w:hint="eastAsia" w:eastAsia="方正仿宋_GBK"/>
                            <w:szCs w:val="21"/>
                          </w:rPr>
                          <w:t>港口突发事件应急指挥部办公室</w:t>
                        </w:r>
                      </w:p>
                    </w:txbxContent>
                  </v:textbox>
                </v:shape>
                <v:line id="直接连接符 13" o:spid="_x0000_s1026" o:spt="20" style="position:absolute;left:8271;top:3124;height:803;width:1;" filled="f" stroked="t" coordsize="21600,21600" o:gfxdata="UEsFBgAAAAAAAAAAAAAAAAAAAAAAAFBLAwQKAAAAAACHTuJAAAAAAAAAAAAAAAAABAAAAGRycy9Q&#10;SwMEFAAAAAgAh07iQJl7Yty8AAAA2wAAAA8AAABkcnMvZG93bnJldi54bWxFT0trwkAQvhf6H5Yp&#10;eKubKEhIXT0IFsFHMZaityE7JqHZ2bC7avz3XUHobT6+50znvWnFlZxvLCtIhwkI4tLqhisF34fl&#10;ewbCB2SNrWVScCcP89nryxRzbW+8p2sRKhFD2OeooA6hy6X0ZU0G/dB2xJE7W2cwROgqqR3eYrhp&#10;5ShJJtJgw7Ghxo4WNZW/xcUo2G+W6+xnfelLd/pMd4evzfboM6UGb2nyASJQH/7FT/dKx/ljePwS&#10;D5Cz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Ze2Lc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line id="直接连接符 14" o:spid="_x0000_s1026" o:spt="20" style="position:absolute;left:6623;top:7056;height:541;width:1;" filled="f" stroked="t" coordsize="21600,21600" o:gfxdata="UEsFBgAAAAAAAAAAAAAAAAAAAAAAAFBLAwQKAAAAAACHTuJAAAAAAAAAAAAAAAAABAAAAGRycy9Q&#10;SwMEFAAAAAgAh07iQBaS+qi8AAAA2wAAAA8AAABkcnMvZG93bnJldi54bWxFT0trwkAQvhf6H5Yp&#10;eKubiEhIXT0IFsFHMZaityE7JqHZ2bC7avz3XUHobT6+50znvWnFlZxvLCtIhwkI4tLqhisF34fl&#10;ewbCB2SNrWVScCcP89nryxRzbW+8p2sRKhFD2OeooA6hy6X0ZU0G/dB2xJE7W2cwROgqqR3eYrhp&#10;5ShJJtJgw7Ghxo4WNZW/xcUo2G+W6+xnfelLd/pMd4evzfboM6UGb2nyASJQH/7FT/dKx/ljePwS&#10;D5Cz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Wkvqo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line id="直接连接符 15" o:spid="_x0000_s1026" o:spt="20" style="position:absolute;left:8266;top:7035;height:541;width:1;" filled="f" stroked="t" coordsize="21600,21600" o:gfxdata="UEsFBgAAAAAAAAAAAAAAAAAAAAAAAFBLAwQKAAAAAACHTuJAAAAAAAAAAAAAAAAABAAAAGRycy9Q&#10;SwMEFAAAAAgAh07iQHneXzO8AAAA2wAAAA8AAABkcnMvZG93bnJldi54bWxFT0trwkAQvhf6H5Yp&#10;eKubCEpIXT0IFsFHMZaityE7JqHZ2bC7avz3XUHobT6+50znvWnFlZxvLCtIhwkI4tLqhisF34fl&#10;ewbCB2SNrWVScCcP89nryxRzbW+8p2sRKhFD2OeooA6hy6X0ZU0G/dB2xJE7W2cwROgqqR3eYrhp&#10;5ShJJtJgw7Ghxo4WNZW/xcUo2G+W6+xnfelLd/pMd4evzfboM6UGb2nyASJQH/7FT/dKx/ljePwS&#10;D5Cz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53l8z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line id="直接连接符 16" o:spid="_x0000_s1026" o:spt="20" style="position:absolute;left:7309;top:5714;flip:x;height:1;width:957;" filled="f" stroked="t" coordsize="21600,21600" o:gfxdata="UEsFBgAAAAAAAAAAAAAAAAAAAAAAAFBLAwQKAAAAAACHTuJAAAAAAAAAAAAAAAAABAAAAGRycy9Q&#10;SwMEFAAAAAgAh07iQPPX55i8AAAA2wAAAA8AAABkcnMvZG93bnJldi54bWxFT01rwkAQvRf8D8sI&#10;vdVNihWbunqQFjyVqkXobchOk2h2Nt0dje2vdwWht3m8z5ktzq5VJwqx8WwgH2WgiEtvG64MfG7f&#10;HqagoiBbbD2TgV+KsJgP7mZYWN/zmk4bqVQK4ViggVqkK7SOZU0O48h3xIn79sGhJBgqbQP2Kdy1&#10;+jHLJtphw6mhxo6WNZWHzdEZeN72T/4jHHbjvPn5+nvdS7d6F2Puh3n2AkroLP/im3tl0/wJXH9J&#10;B+j5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z1+eY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line id="直接连接符 17" o:spid="_x0000_s1026" o:spt="20" style="position:absolute;left:8270;top:4880;height:2153;width:1;" filled="f" stroked="t" coordsize="21600,21600" o:gfxdata="UEsFBgAAAAAAAAAAAAAAAAAAAAAAAFBLAwQKAAAAAACHTuJAAAAAAAAAAAAAAAAABAAAAGRycy9Q&#10;SwMEFAAAAAgAh07iQKjVSNy8AAAA2wAAAA8AAABkcnMvZG93bnJldi54bWxFT0trwkAQvgv+h2UK&#10;vQTdNYUqqasH24AHL/WB1yE7TUKzszG7NdFf3y0UvM3H95zlerCNuFLna8caZlMFgrhwpuZSw/GQ&#10;TxYgfEA22DgmDTfysF6NR0vMjOv5k677UIoYwj5DDVUIbSalLyqy6KeuJY7cl+sshgi7UpoO+xhu&#10;G5kq9Sot1hwbKmxpU1Hxvf+xGnx+okt+T4pEnV9KR+nlffeBWj8/zdQbiEBDeIj/3VsT58/h75d4&#10;gFz9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o1Ujc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p>
    <w:p>
      <w:pPr>
        <w:jc w:val="center"/>
        <w:sectPr>
          <w:pgSz w:w="11910" w:h="16840"/>
          <w:pgMar w:top="1440" w:right="1800" w:bottom="1440" w:left="1800" w:header="0" w:footer="1014" w:gutter="0"/>
          <w:pgNumType w:fmt="numberInDash"/>
          <w:cols w:space="720" w:num="1"/>
          <w:docGrid w:type="lines" w:linePitch="326" w:charSpace="0"/>
        </w:sectPr>
      </w:pPr>
    </w:p>
    <w:p>
      <w:pPr>
        <w:snapToGrid w:val="0"/>
        <w:spacing w:line="560" w:lineRule="exact"/>
        <w:rPr>
          <w:rFonts w:eastAsia="仿宋_GB2312"/>
          <w:sz w:val="32"/>
          <w:szCs w:val="32"/>
        </w:rPr>
      </w:pPr>
      <w:bookmarkStart w:id="68" w:name="_Toc121478055"/>
      <w:r>
        <w:rPr>
          <w:rFonts w:eastAsia="仿宋_GB2312"/>
          <w:sz w:val="32"/>
          <w:szCs w:val="32"/>
        </w:rPr>
        <w:t>附件3</w:t>
      </w:r>
      <w:bookmarkEnd w:id="68"/>
    </w:p>
    <w:p>
      <w:pPr>
        <w:pStyle w:val="3"/>
        <w:jc w:val="center"/>
        <w:rPr>
          <w:rFonts w:hint="eastAsia" w:eastAsia="楷体"/>
          <w:b w:val="0"/>
          <w:bCs w:val="0"/>
          <w:sz w:val="32"/>
        </w:rPr>
      </w:pPr>
      <w:bookmarkStart w:id="69" w:name="_Toc121478056"/>
      <w:r>
        <w:rPr>
          <w:rFonts w:eastAsia="楷体"/>
          <w:b w:val="0"/>
          <w:bCs w:val="0"/>
          <w:sz w:val="32"/>
        </w:rPr>
        <w:t>南京沿江现有危险货物码头情况</w:t>
      </w:r>
      <w:bookmarkEnd w:id="69"/>
    </w:p>
    <w:p/>
    <w:tbl>
      <w:tblPr>
        <w:tblStyle w:val="8"/>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122"/>
        <w:gridCol w:w="2489"/>
        <w:gridCol w:w="2952"/>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4" w:type="pct"/>
            <w:noWrap w:val="0"/>
            <w:vAlign w:val="center"/>
          </w:tcPr>
          <w:p>
            <w:pPr>
              <w:widowControl/>
              <w:topLinePunct/>
              <w:snapToGrid w:val="0"/>
              <w:spacing w:line="240" w:lineRule="atLeast"/>
              <w:jc w:val="center"/>
              <w:rPr>
                <w:rFonts w:eastAsia="黑体"/>
                <w:b/>
              </w:rPr>
            </w:pPr>
            <w:r>
              <w:rPr>
                <w:rFonts w:eastAsia="黑体"/>
                <w:b/>
              </w:rPr>
              <w:t>序号</w:t>
            </w:r>
          </w:p>
        </w:tc>
        <w:tc>
          <w:tcPr>
            <w:tcW w:w="593" w:type="pct"/>
            <w:noWrap w:val="0"/>
            <w:vAlign w:val="center"/>
          </w:tcPr>
          <w:p>
            <w:pPr>
              <w:widowControl/>
              <w:topLinePunct/>
              <w:snapToGrid w:val="0"/>
              <w:spacing w:line="240" w:lineRule="atLeast"/>
              <w:jc w:val="center"/>
              <w:rPr>
                <w:rFonts w:eastAsia="黑体"/>
                <w:b/>
              </w:rPr>
            </w:pPr>
            <w:r>
              <w:rPr>
                <w:rFonts w:eastAsia="黑体"/>
                <w:b/>
              </w:rPr>
              <w:t>公司名称</w:t>
            </w:r>
          </w:p>
        </w:tc>
        <w:tc>
          <w:tcPr>
            <w:tcW w:w="1315" w:type="pct"/>
            <w:noWrap w:val="0"/>
            <w:vAlign w:val="center"/>
          </w:tcPr>
          <w:p>
            <w:pPr>
              <w:widowControl/>
              <w:topLinePunct/>
              <w:snapToGrid w:val="0"/>
              <w:spacing w:line="240" w:lineRule="atLeast"/>
              <w:jc w:val="center"/>
              <w:rPr>
                <w:rFonts w:eastAsia="黑体"/>
                <w:b/>
              </w:rPr>
            </w:pPr>
            <w:r>
              <w:rPr>
                <w:rFonts w:eastAsia="黑体"/>
                <w:b/>
              </w:rPr>
              <w:t>经营品种</w:t>
            </w:r>
          </w:p>
        </w:tc>
        <w:tc>
          <w:tcPr>
            <w:tcW w:w="1560" w:type="pct"/>
            <w:noWrap w:val="0"/>
            <w:vAlign w:val="center"/>
          </w:tcPr>
          <w:p>
            <w:pPr>
              <w:widowControl/>
              <w:topLinePunct/>
              <w:snapToGrid w:val="0"/>
              <w:spacing w:line="240" w:lineRule="atLeast"/>
              <w:jc w:val="center"/>
              <w:rPr>
                <w:rFonts w:eastAsia="黑体"/>
                <w:b/>
              </w:rPr>
            </w:pPr>
            <w:r>
              <w:rPr>
                <w:rFonts w:eastAsia="黑体"/>
                <w:b/>
              </w:rPr>
              <w:t>作业方式</w:t>
            </w:r>
          </w:p>
        </w:tc>
        <w:tc>
          <w:tcPr>
            <w:tcW w:w="1188" w:type="pct"/>
            <w:noWrap w:val="0"/>
            <w:vAlign w:val="center"/>
          </w:tcPr>
          <w:p>
            <w:pPr>
              <w:widowControl/>
              <w:topLinePunct/>
              <w:snapToGrid w:val="0"/>
              <w:spacing w:line="240" w:lineRule="atLeast"/>
              <w:jc w:val="center"/>
              <w:rPr>
                <w:rFonts w:eastAsia="黑体"/>
                <w:b/>
              </w:rPr>
            </w:pPr>
            <w:r>
              <w:rPr>
                <w:rFonts w:eastAsia="黑体"/>
                <w:b/>
              </w:rPr>
              <w:t>作业区域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4" w:type="pct"/>
            <w:vMerge w:val="restart"/>
            <w:noWrap w:val="0"/>
            <w:vAlign w:val="center"/>
          </w:tcPr>
          <w:p>
            <w:pPr>
              <w:widowControl/>
              <w:topLinePunct/>
              <w:snapToGrid w:val="0"/>
              <w:spacing w:line="240" w:lineRule="atLeast"/>
              <w:jc w:val="center"/>
              <w:rPr>
                <w:rFonts w:eastAsia="方正仿宋_GBK"/>
              </w:rPr>
            </w:pPr>
            <w:r>
              <w:rPr>
                <w:rFonts w:eastAsia="方正仿宋_GBK"/>
              </w:rPr>
              <w:t>1</w:t>
            </w:r>
          </w:p>
        </w:tc>
        <w:tc>
          <w:tcPr>
            <w:tcW w:w="593" w:type="pct"/>
            <w:vMerge w:val="restart"/>
            <w:noWrap w:val="0"/>
            <w:vAlign w:val="center"/>
          </w:tcPr>
          <w:p>
            <w:pPr>
              <w:widowControl/>
              <w:topLinePunct/>
              <w:snapToGrid w:val="0"/>
              <w:spacing w:line="240" w:lineRule="atLeast"/>
              <w:rPr>
                <w:rFonts w:eastAsia="方正仿宋_GBK"/>
              </w:rPr>
            </w:pPr>
            <w:r>
              <w:rPr>
                <w:rFonts w:eastAsia="方正仿宋_GBK"/>
              </w:rPr>
              <w:t>南京港龙潭天宇码头有限公司</w:t>
            </w:r>
          </w:p>
        </w:tc>
        <w:tc>
          <w:tcPr>
            <w:tcW w:w="1315" w:type="pct"/>
            <w:noWrap w:val="0"/>
            <w:vAlign w:val="center"/>
          </w:tcPr>
          <w:p>
            <w:pPr>
              <w:widowControl/>
              <w:topLinePunct/>
              <w:snapToGrid w:val="0"/>
              <w:spacing w:line="240" w:lineRule="atLeast"/>
              <w:rPr>
                <w:rFonts w:eastAsia="方正仿宋_GBK"/>
              </w:rPr>
            </w:pPr>
            <w:r>
              <w:rPr>
                <w:rFonts w:eastAsia="方正仿宋_GBK"/>
              </w:rPr>
              <w:t>固体硫磺***</w:t>
            </w:r>
          </w:p>
        </w:tc>
        <w:tc>
          <w:tcPr>
            <w:tcW w:w="1560" w:type="pct"/>
            <w:noWrap w:val="0"/>
            <w:vAlign w:val="center"/>
          </w:tcPr>
          <w:p>
            <w:pPr>
              <w:widowControl/>
              <w:snapToGrid w:val="0"/>
              <w:spacing w:line="240" w:lineRule="atLeast"/>
              <w:rPr>
                <w:rFonts w:hint="eastAsia" w:eastAsia="方正仿宋_GBK"/>
                <w:lang w:eastAsia="zh-CN"/>
              </w:rPr>
            </w:pPr>
            <w:r>
              <w:rPr>
                <w:rFonts w:eastAsia="方正仿宋_GBK"/>
              </w:rPr>
              <w:t>船-吊-车-堆场</w:t>
            </w:r>
          </w:p>
          <w:p>
            <w:pPr>
              <w:widowControl/>
              <w:snapToGrid w:val="0"/>
              <w:spacing w:line="240" w:lineRule="atLeast"/>
              <w:rPr>
                <w:rFonts w:eastAsia="方正仿宋_GBK"/>
              </w:rPr>
            </w:pPr>
            <w:r>
              <w:rPr>
                <w:rFonts w:eastAsia="方正仿宋_GBK"/>
              </w:rPr>
              <w:t>船-吊-船</w:t>
            </w:r>
          </w:p>
        </w:tc>
        <w:tc>
          <w:tcPr>
            <w:tcW w:w="1188" w:type="pct"/>
            <w:noWrap w:val="0"/>
            <w:vAlign w:val="center"/>
          </w:tcPr>
          <w:p>
            <w:pPr>
              <w:widowControl/>
              <w:snapToGrid w:val="0"/>
              <w:spacing w:line="240" w:lineRule="atLeast"/>
              <w:rPr>
                <w:rFonts w:eastAsia="方正仿宋_GBK"/>
              </w:rPr>
            </w:pPr>
            <w:r>
              <w:rPr>
                <w:rFonts w:eastAsia="方正仿宋_GBK"/>
              </w:rPr>
              <w:t>南京港龙潭港区龙潭天宇码头901#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固体硫磺、棕榈油***</w:t>
            </w:r>
          </w:p>
        </w:tc>
        <w:tc>
          <w:tcPr>
            <w:tcW w:w="1560" w:type="pct"/>
            <w:noWrap w:val="0"/>
            <w:vAlign w:val="center"/>
          </w:tcPr>
          <w:p>
            <w:pPr>
              <w:widowControl/>
              <w:topLinePunct/>
              <w:snapToGrid w:val="0"/>
              <w:spacing w:line="240" w:lineRule="atLeast"/>
              <w:rPr>
                <w:rFonts w:hint="eastAsia" w:eastAsia="方正仿宋_GBK"/>
                <w:lang w:eastAsia="zh-CN"/>
              </w:rPr>
            </w:pPr>
            <w:r>
              <w:rPr>
                <w:rFonts w:eastAsia="方正仿宋_GBK"/>
              </w:rPr>
              <w:t>船-吊-车-堆场</w:t>
            </w:r>
          </w:p>
          <w:p>
            <w:pPr>
              <w:widowControl/>
              <w:topLinePunct/>
              <w:snapToGrid w:val="0"/>
              <w:spacing w:line="240" w:lineRule="atLeast"/>
              <w:rPr>
                <w:rFonts w:hint="eastAsia" w:eastAsia="方正仿宋_GBK"/>
                <w:lang w:eastAsia="zh-CN"/>
              </w:rPr>
            </w:pPr>
            <w:r>
              <w:rPr>
                <w:rFonts w:eastAsia="方正仿宋_GBK"/>
              </w:rPr>
              <w:t>船-吊-船</w:t>
            </w:r>
          </w:p>
          <w:p>
            <w:pPr>
              <w:widowControl/>
              <w:topLinePunct/>
              <w:snapToGrid w:val="0"/>
              <w:spacing w:line="240" w:lineRule="atLeast"/>
              <w:rPr>
                <w:rFonts w:eastAsia="方正仿宋_GBK"/>
              </w:rPr>
            </w:pPr>
            <w:r>
              <w:rPr>
                <w:rFonts w:eastAsia="方正仿宋_GBK"/>
              </w:rPr>
              <w:t>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南京港龙潭港区龙潭天宇码头902#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固体硫磺、棕榈油***</w:t>
            </w:r>
          </w:p>
        </w:tc>
        <w:tc>
          <w:tcPr>
            <w:tcW w:w="1560" w:type="pct"/>
            <w:noWrap w:val="0"/>
            <w:vAlign w:val="center"/>
          </w:tcPr>
          <w:p>
            <w:pPr>
              <w:widowControl/>
              <w:topLinePunct/>
              <w:snapToGrid w:val="0"/>
              <w:spacing w:line="240" w:lineRule="atLeast"/>
              <w:rPr>
                <w:rFonts w:hint="eastAsia" w:eastAsia="方正仿宋_GBK"/>
                <w:lang w:eastAsia="zh-CN"/>
              </w:rPr>
            </w:pPr>
            <w:r>
              <w:rPr>
                <w:rFonts w:eastAsia="方正仿宋_GBK"/>
              </w:rPr>
              <w:t>船-吊-车-堆场</w:t>
            </w:r>
          </w:p>
          <w:p>
            <w:pPr>
              <w:widowControl/>
              <w:topLinePunct/>
              <w:snapToGrid w:val="0"/>
              <w:spacing w:line="240" w:lineRule="atLeast"/>
              <w:rPr>
                <w:rFonts w:hint="eastAsia" w:eastAsia="方正仿宋_GBK"/>
                <w:lang w:eastAsia="zh-CN"/>
              </w:rPr>
            </w:pPr>
            <w:r>
              <w:rPr>
                <w:rFonts w:eastAsia="方正仿宋_GBK"/>
              </w:rPr>
              <w:t>船-吊-船</w:t>
            </w:r>
          </w:p>
          <w:p>
            <w:pPr>
              <w:widowControl/>
              <w:topLinePunct/>
              <w:snapToGrid w:val="0"/>
              <w:spacing w:line="240" w:lineRule="atLeast"/>
              <w:rPr>
                <w:rFonts w:eastAsia="方正仿宋_GBK"/>
              </w:rPr>
            </w:pPr>
            <w:r>
              <w:rPr>
                <w:rFonts w:eastAsia="方正仿宋_GBK"/>
              </w:rPr>
              <w:t>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南京港龙潭港区龙潭天宇码头903#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固体硫磺***</w:t>
            </w:r>
          </w:p>
        </w:tc>
        <w:tc>
          <w:tcPr>
            <w:tcW w:w="1560" w:type="pct"/>
            <w:noWrap w:val="0"/>
            <w:vAlign w:val="center"/>
          </w:tcPr>
          <w:p>
            <w:pPr>
              <w:widowControl/>
              <w:topLinePunct/>
              <w:snapToGrid w:val="0"/>
              <w:spacing w:line="240" w:lineRule="atLeast"/>
              <w:rPr>
                <w:rFonts w:eastAsia="方正仿宋_GBK"/>
              </w:rPr>
            </w:pPr>
            <w:r>
              <w:rPr>
                <w:rFonts w:eastAsia="方正仿宋_GBK"/>
              </w:rPr>
              <w:t>船-吊-车-堆场</w:t>
            </w:r>
          </w:p>
        </w:tc>
        <w:tc>
          <w:tcPr>
            <w:tcW w:w="1188" w:type="pct"/>
            <w:noWrap w:val="0"/>
            <w:vAlign w:val="center"/>
          </w:tcPr>
          <w:p>
            <w:pPr>
              <w:widowControl/>
              <w:topLinePunct/>
              <w:snapToGrid w:val="0"/>
              <w:spacing w:line="240" w:lineRule="atLeast"/>
              <w:rPr>
                <w:rFonts w:eastAsia="方正仿宋_GBK"/>
              </w:rPr>
            </w:pPr>
            <w:r>
              <w:rPr>
                <w:rFonts w:eastAsia="方正仿宋_GBK"/>
              </w:rPr>
              <w:t>南京港龙潭港区龙潭天宇码头931堆场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固体硫磺***</w:t>
            </w:r>
          </w:p>
        </w:tc>
        <w:tc>
          <w:tcPr>
            <w:tcW w:w="1560" w:type="pct"/>
            <w:noWrap w:val="0"/>
            <w:vAlign w:val="center"/>
          </w:tcPr>
          <w:p>
            <w:pPr>
              <w:widowControl/>
              <w:topLinePunct/>
              <w:snapToGrid w:val="0"/>
              <w:spacing w:line="240" w:lineRule="atLeast"/>
              <w:rPr>
                <w:rFonts w:eastAsia="方正仿宋_GBK"/>
              </w:rPr>
            </w:pPr>
            <w:r>
              <w:rPr>
                <w:rFonts w:eastAsia="方正仿宋_GBK"/>
              </w:rPr>
              <w:t>船-吊-车-堆场</w:t>
            </w:r>
          </w:p>
        </w:tc>
        <w:tc>
          <w:tcPr>
            <w:tcW w:w="1188" w:type="pct"/>
            <w:noWrap w:val="0"/>
            <w:vAlign w:val="center"/>
          </w:tcPr>
          <w:p>
            <w:pPr>
              <w:widowControl/>
              <w:topLinePunct/>
              <w:snapToGrid w:val="0"/>
              <w:spacing w:line="240" w:lineRule="atLeast"/>
              <w:rPr>
                <w:rFonts w:eastAsia="方正仿宋_GBK"/>
              </w:rPr>
            </w:pPr>
            <w:r>
              <w:rPr>
                <w:rFonts w:eastAsia="方正仿宋_GBK"/>
              </w:rPr>
              <w:t>南京港龙潭港区龙潭天宇码头932堆场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固体硫磺***</w:t>
            </w:r>
          </w:p>
        </w:tc>
        <w:tc>
          <w:tcPr>
            <w:tcW w:w="1560" w:type="pct"/>
            <w:noWrap w:val="0"/>
            <w:vAlign w:val="center"/>
          </w:tcPr>
          <w:p>
            <w:pPr>
              <w:widowControl/>
              <w:topLinePunct/>
              <w:snapToGrid w:val="0"/>
              <w:spacing w:line="240" w:lineRule="atLeast"/>
              <w:rPr>
                <w:rFonts w:eastAsia="方正仿宋_GBK"/>
              </w:rPr>
            </w:pPr>
            <w:r>
              <w:rPr>
                <w:rFonts w:eastAsia="方正仿宋_GBK"/>
              </w:rPr>
              <w:t>船-吊-车-堆场</w:t>
            </w:r>
          </w:p>
        </w:tc>
        <w:tc>
          <w:tcPr>
            <w:tcW w:w="1188" w:type="pct"/>
            <w:noWrap w:val="0"/>
            <w:vAlign w:val="center"/>
          </w:tcPr>
          <w:p>
            <w:pPr>
              <w:widowControl/>
              <w:topLinePunct/>
              <w:snapToGrid w:val="0"/>
              <w:spacing w:line="240" w:lineRule="atLeast"/>
              <w:rPr>
                <w:rFonts w:eastAsia="方正仿宋_GBK"/>
              </w:rPr>
            </w:pPr>
            <w:r>
              <w:rPr>
                <w:rFonts w:eastAsia="方正仿宋_GBK"/>
              </w:rPr>
              <w:t>南京港龙潭港区龙潭天宇码头933堆场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4" w:type="pct"/>
            <w:noWrap w:val="0"/>
            <w:vAlign w:val="center"/>
          </w:tcPr>
          <w:p>
            <w:pPr>
              <w:widowControl/>
              <w:topLinePunct/>
              <w:snapToGrid w:val="0"/>
              <w:spacing w:line="240" w:lineRule="atLeast"/>
              <w:jc w:val="center"/>
              <w:rPr>
                <w:rFonts w:eastAsia="方正仿宋_GBK"/>
              </w:rPr>
            </w:pPr>
            <w:r>
              <w:rPr>
                <w:rFonts w:eastAsia="方正仿宋_GBK"/>
              </w:rPr>
              <w:t>2</w:t>
            </w:r>
          </w:p>
        </w:tc>
        <w:tc>
          <w:tcPr>
            <w:tcW w:w="593" w:type="pct"/>
            <w:noWrap w:val="0"/>
            <w:vAlign w:val="center"/>
          </w:tcPr>
          <w:p>
            <w:pPr>
              <w:widowControl/>
              <w:topLinePunct/>
              <w:snapToGrid w:val="0"/>
              <w:spacing w:line="240" w:lineRule="atLeast"/>
              <w:rPr>
                <w:rFonts w:eastAsia="方正仿宋_GBK"/>
              </w:rPr>
            </w:pPr>
            <w:r>
              <w:rPr>
                <w:rFonts w:eastAsia="方正仿宋_GBK"/>
              </w:rPr>
              <w:t>南京港（集团）有限公司第二港务分公司</w:t>
            </w:r>
          </w:p>
        </w:tc>
        <w:tc>
          <w:tcPr>
            <w:tcW w:w="1315" w:type="pct"/>
            <w:noWrap w:val="0"/>
            <w:vAlign w:val="center"/>
          </w:tcPr>
          <w:p>
            <w:pPr>
              <w:widowControl/>
              <w:topLinePunct/>
              <w:snapToGrid w:val="0"/>
              <w:spacing w:line="240" w:lineRule="atLeast"/>
              <w:rPr>
                <w:rFonts w:eastAsia="方正仿宋_GBK"/>
              </w:rPr>
            </w:pPr>
            <w:r>
              <w:rPr>
                <w:rFonts w:eastAsia="方正仿宋_GBK"/>
              </w:rPr>
              <w:t>沥青***</w:t>
            </w:r>
          </w:p>
        </w:tc>
        <w:tc>
          <w:tcPr>
            <w:tcW w:w="1560" w:type="pct"/>
            <w:noWrap w:val="0"/>
            <w:vAlign w:val="center"/>
          </w:tcPr>
          <w:p>
            <w:pPr>
              <w:widowControl/>
              <w:topLinePunct/>
              <w:snapToGrid w:val="0"/>
              <w:spacing w:line="240" w:lineRule="atLeast"/>
              <w:rPr>
                <w:rFonts w:eastAsia="方正仿宋_GBK"/>
              </w:rPr>
            </w:pPr>
            <w:r>
              <w:rPr>
                <w:rFonts w:eastAsia="方正仿宋_GBK"/>
              </w:rPr>
              <w:t>船-软管-船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南京港板桥港区弘阳码头1号泊位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4" w:type="pct"/>
            <w:vMerge w:val="restart"/>
            <w:noWrap w:val="0"/>
            <w:vAlign w:val="center"/>
          </w:tcPr>
          <w:p>
            <w:pPr>
              <w:widowControl/>
              <w:topLinePunct/>
              <w:snapToGrid w:val="0"/>
              <w:spacing w:line="240" w:lineRule="atLeast"/>
              <w:jc w:val="center"/>
              <w:rPr>
                <w:rFonts w:eastAsia="方正仿宋_GBK"/>
              </w:rPr>
            </w:pPr>
            <w:r>
              <w:rPr>
                <w:rFonts w:eastAsia="方正仿宋_GBK"/>
              </w:rPr>
              <w:t>3</w:t>
            </w:r>
          </w:p>
        </w:tc>
        <w:tc>
          <w:tcPr>
            <w:tcW w:w="593" w:type="pct"/>
            <w:vMerge w:val="restart"/>
            <w:noWrap w:val="0"/>
            <w:vAlign w:val="center"/>
          </w:tcPr>
          <w:p>
            <w:pPr>
              <w:widowControl/>
              <w:topLinePunct/>
              <w:snapToGrid w:val="0"/>
              <w:spacing w:line="240" w:lineRule="atLeast"/>
              <w:rPr>
                <w:rFonts w:eastAsia="方正仿宋_GBK"/>
              </w:rPr>
            </w:pPr>
            <w:r>
              <w:rPr>
                <w:rFonts w:eastAsia="方正仿宋_GBK"/>
              </w:rPr>
              <w:t>南京港（集团）有限公司新生圩港务分公司</w:t>
            </w:r>
          </w:p>
        </w:tc>
        <w:tc>
          <w:tcPr>
            <w:tcW w:w="1315" w:type="pct"/>
            <w:noWrap w:val="0"/>
            <w:vAlign w:val="center"/>
          </w:tcPr>
          <w:p>
            <w:pPr>
              <w:widowControl/>
              <w:topLinePunct/>
              <w:snapToGrid w:val="0"/>
              <w:spacing w:line="240" w:lineRule="atLeast"/>
              <w:rPr>
                <w:rFonts w:eastAsia="方正仿宋_GBK"/>
              </w:rPr>
            </w:pPr>
            <w:r>
              <w:rPr>
                <w:rFonts w:eastAsia="方正仿宋_GBK"/>
              </w:rPr>
              <w:t>沥青***</w:t>
            </w:r>
          </w:p>
        </w:tc>
        <w:tc>
          <w:tcPr>
            <w:tcW w:w="1560" w:type="pct"/>
            <w:noWrap w:val="0"/>
            <w:vAlign w:val="center"/>
          </w:tcPr>
          <w:p>
            <w:pPr>
              <w:widowControl/>
              <w:topLinePunct/>
              <w:snapToGrid w:val="0"/>
              <w:spacing w:line="240" w:lineRule="atLeast"/>
              <w:rPr>
                <w:rFonts w:eastAsia="方正仿宋_GBK"/>
              </w:rPr>
            </w:pPr>
            <w:r>
              <w:rPr>
                <w:rFonts w:eastAsia="方正仿宋_GBK"/>
              </w:rPr>
              <w:t>船-车，车-船，船-软管-船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南京港新生圩港区新生圩码头400#泊位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沥青***</w:t>
            </w:r>
          </w:p>
        </w:tc>
        <w:tc>
          <w:tcPr>
            <w:tcW w:w="1560" w:type="pct"/>
            <w:noWrap w:val="0"/>
            <w:vAlign w:val="center"/>
          </w:tcPr>
          <w:p>
            <w:pPr>
              <w:widowControl/>
              <w:topLinePunct/>
              <w:snapToGrid w:val="0"/>
              <w:spacing w:line="240" w:lineRule="atLeast"/>
              <w:rPr>
                <w:rFonts w:eastAsia="方正仿宋_GBK"/>
              </w:rPr>
            </w:pPr>
            <w:r>
              <w:rPr>
                <w:rFonts w:eastAsia="方正仿宋_GBK"/>
              </w:rPr>
              <w:t>船-车，车-船，船-软管-船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南京港新生圩港区新生圩码头403#泊位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沥青***</w:t>
            </w:r>
          </w:p>
        </w:tc>
        <w:tc>
          <w:tcPr>
            <w:tcW w:w="1560" w:type="pct"/>
            <w:noWrap w:val="0"/>
            <w:vAlign w:val="center"/>
          </w:tcPr>
          <w:p>
            <w:pPr>
              <w:widowControl/>
              <w:topLinePunct/>
              <w:snapToGrid w:val="0"/>
              <w:spacing w:line="240" w:lineRule="atLeast"/>
              <w:rPr>
                <w:rFonts w:eastAsia="方正仿宋_GBK"/>
              </w:rPr>
            </w:pPr>
            <w:r>
              <w:rPr>
                <w:rFonts w:eastAsia="方正仿宋_GBK"/>
              </w:rPr>
              <w:t>船-车，车-船，船-软管-船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南京港新生圩港区新生圩码头404#泊位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沥青***</w:t>
            </w:r>
          </w:p>
        </w:tc>
        <w:tc>
          <w:tcPr>
            <w:tcW w:w="1560" w:type="pct"/>
            <w:noWrap w:val="0"/>
            <w:vAlign w:val="center"/>
          </w:tcPr>
          <w:p>
            <w:pPr>
              <w:widowControl/>
              <w:topLinePunct/>
              <w:snapToGrid w:val="0"/>
              <w:spacing w:line="240" w:lineRule="atLeast"/>
              <w:rPr>
                <w:rFonts w:eastAsia="方正仿宋_GBK"/>
              </w:rPr>
            </w:pPr>
            <w:r>
              <w:rPr>
                <w:rFonts w:eastAsia="方正仿宋_GBK"/>
              </w:rPr>
              <w:t>船-车，车-船，船-软管-船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南京港新生圩港区新生圩码头405#泊位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4" w:type="pct"/>
            <w:noWrap w:val="0"/>
            <w:vAlign w:val="center"/>
          </w:tcPr>
          <w:p>
            <w:pPr>
              <w:widowControl/>
              <w:topLinePunct/>
              <w:snapToGrid w:val="0"/>
              <w:spacing w:line="240" w:lineRule="atLeast"/>
              <w:jc w:val="center"/>
              <w:rPr>
                <w:rFonts w:eastAsia="方正仿宋_GBK"/>
              </w:rPr>
            </w:pPr>
            <w:r>
              <w:rPr>
                <w:rFonts w:eastAsia="方正仿宋_GBK"/>
              </w:rPr>
              <w:t>4</w:t>
            </w:r>
          </w:p>
        </w:tc>
        <w:tc>
          <w:tcPr>
            <w:tcW w:w="593" w:type="pct"/>
            <w:noWrap w:val="0"/>
            <w:vAlign w:val="center"/>
          </w:tcPr>
          <w:p>
            <w:pPr>
              <w:widowControl/>
              <w:topLinePunct/>
              <w:snapToGrid w:val="0"/>
              <w:spacing w:line="240" w:lineRule="atLeast"/>
              <w:rPr>
                <w:rFonts w:eastAsia="方正仿宋_GBK"/>
              </w:rPr>
            </w:pPr>
            <w:r>
              <w:rPr>
                <w:rFonts w:eastAsia="方正仿宋_GBK"/>
              </w:rPr>
              <w:t>南京港股份有限公司</w:t>
            </w:r>
          </w:p>
        </w:tc>
        <w:tc>
          <w:tcPr>
            <w:tcW w:w="1315" w:type="pct"/>
            <w:noWrap w:val="0"/>
            <w:vAlign w:val="center"/>
          </w:tcPr>
          <w:p>
            <w:pPr>
              <w:widowControl/>
              <w:topLinePunct/>
              <w:snapToGrid w:val="0"/>
              <w:spacing w:line="240" w:lineRule="atLeast"/>
              <w:rPr>
                <w:rFonts w:eastAsia="方正仿宋_GBK"/>
              </w:rPr>
            </w:pPr>
            <w:r>
              <w:rPr>
                <w:rFonts w:eastAsia="方正仿宋_GBK"/>
              </w:rPr>
              <w:t>汽油、煤油、柴油、重油、芳烃油（混合芳烃）***</w:t>
            </w:r>
          </w:p>
        </w:tc>
        <w:tc>
          <w:tcPr>
            <w:tcW w:w="1560" w:type="pct"/>
            <w:noWrap w:val="0"/>
            <w:vAlign w:val="center"/>
          </w:tcPr>
          <w:p>
            <w:pPr>
              <w:widowControl/>
              <w:topLinePunct/>
              <w:snapToGrid w:val="0"/>
              <w:spacing w:line="240" w:lineRule="atLeast"/>
              <w:rPr>
                <w:rFonts w:eastAsia="方正仿宋_GBK"/>
              </w:rPr>
            </w:pPr>
            <w:r>
              <w:rPr>
                <w:rFonts w:eastAsia="方正仿宋_GBK"/>
              </w:rPr>
              <w:t>船-管线-储罐，储罐-管线-船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南京港栖霞港区港股公司码头51号泊位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restart"/>
            <w:noWrap w:val="0"/>
            <w:vAlign w:val="center"/>
          </w:tcPr>
          <w:p>
            <w:pPr>
              <w:widowControl/>
              <w:topLinePunct/>
              <w:snapToGrid w:val="0"/>
              <w:spacing w:line="240" w:lineRule="atLeast"/>
              <w:jc w:val="center"/>
              <w:rPr>
                <w:rFonts w:eastAsia="方正仿宋_GBK"/>
              </w:rPr>
            </w:pPr>
            <w:r>
              <w:rPr>
                <w:rFonts w:eastAsia="方正仿宋_GBK"/>
              </w:rPr>
              <w:t>5</w:t>
            </w:r>
          </w:p>
        </w:tc>
        <w:tc>
          <w:tcPr>
            <w:tcW w:w="593" w:type="pct"/>
            <w:vMerge w:val="restart"/>
            <w:noWrap w:val="0"/>
            <w:vAlign w:val="center"/>
          </w:tcPr>
          <w:p>
            <w:pPr>
              <w:widowControl/>
              <w:topLinePunct/>
              <w:snapToGrid w:val="0"/>
              <w:spacing w:line="240" w:lineRule="atLeast"/>
              <w:rPr>
                <w:rFonts w:eastAsia="方正仿宋_GBK"/>
              </w:rPr>
            </w:pPr>
            <w:r>
              <w:rPr>
                <w:rFonts w:eastAsia="方正仿宋_GBK"/>
              </w:rPr>
              <w:t>南京港龙潭集装箱有限公司</w:t>
            </w:r>
          </w:p>
        </w:tc>
        <w:tc>
          <w:tcPr>
            <w:tcW w:w="1315" w:type="pct"/>
            <w:noWrap w:val="0"/>
            <w:vAlign w:val="center"/>
          </w:tcPr>
          <w:p>
            <w:pPr>
              <w:widowControl/>
              <w:topLinePunct/>
              <w:snapToGrid w:val="0"/>
              <w:spacing w:line="240" w:lineRule="atLeast"/>
              <w:rPr>
                <w:rFonts w:eastAsia="方正仿宋_GBK"/>
              </w:rPr>
            </w:pPr>
            <w:r>
              <w:rPr>
                <w:rFonts w:eastAsia="方正仿宋_GBK"/>
              </w:rPr>
              <w:t>第1.3类气体发生剂，1.3C类无烟火药，第1.4类点火具，第2、3、4、6、8、9类，第5类5.1项(氰化钠、硝酸铵、硝化棉以及剧毒品和其他国家禁止在内河运输的货物除外)</w:t>
            </w:r>
          </w:p>
        </w:tc>
        <w:tc>
          <w:tcPr>
            <w:tcW w:w="1560" w:type="pct"/>
            <w:noWrap w:val="0"/>
            <w:vAlign w:val="center"/>
          </w:tcPr>
          <w:p>
            <w:pPr>
              <w:widowControl/>
              <w:topLinePunct/>
              <w:snapToGrid w:val="0"/>
              <w:spacing w:line="240" w:lineRule="atLeast"/>
              <w:rPr>
                <w:rFonts w:eastAsia="方正仿宋_GBK"/>
              </w:rPr>
            </w:pPr>
            <w:r>
              <w:rPr>
                <w:rFonts w:eastAsia="方正仿宋_GBK"/>
              </w:rPr>
              <w:t>第1.3类气体发生剂、1.3C类无烟火药、第1.4类点火具、2类、4.2、4.3、6.2项车船直装直取，其他类别船-场-车，车-场-船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南京港龙潭港区集装箱公司码头801号泊位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第1.3类气体发生剂，1.3C类无烟火药，第1.4类点火具，第2、3、4、6、8、9类，第5类5.1项(氰化钠、硝酸铵、硝化棉以及剧毒品和其他国家禁止在内河运输的货物除外)</w:t>
            </w:r>
          </w:p>
        </w:tc>
        <w:tc>
          <w:tcPr>
            <w:tcW w:w="1560" w:type="pct"/>
            <w:noWrap w:val="0"/>
            <w:vAlign w:val="center"/>
          </w:tcPr>
          <w:p>
            <w:pPr>
              <w:widowControl/>
              <w:topLinePunct/>
              <w:snapToGrid w:val="0"/>
              <w:spacing w:line="240" w:lineRule="atLeast"/>
              <w:rPr>
                <w:rFonts w:eastAsia="方正仿宋_GBK"/>
              </w:rPr>
            </w:pPr>
            <w:r>
              <w:rPr>
                <w:rFonts w:eastAsia="方正仿宋_GBK"/>
              </w:rPr>
              <w:t>第1.3类气体发生剂、1.3C类无烟火药、第1.4类点火具、2类、4.2、4.3、6.2项车船直装直取，其他类别船-场-车，车-场-船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南京港龙潭港区集装箱公司码头802号泊位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第1.3类气体发生剂，1.3C类无烟火药，第1.4类点火具，第2、3、4、6、8、9类，第5类5.1项(氰化钠、硝酸铵、硝化棉以及剧毒品和其他国家禁止在内河运输的货物除外)</w:t>
            </w:r>
          </w:p>
        </w:tc>
        <w:tc>
          <w:tcPr>
            <w:tcW w:w="1560" w:type="pct"/>
            <w:noWrap w:val="0"/>
            <w:vAlign w:val="center"/>
          </w:tcPr>
          <w:p>
            <w:pPr>
              <w:widowControl/>
              <w:topLinePunct/>
              <w:snapToGrid w:val="0"/>
              <w:spacing w:line="240" w:lineRule="atLeast"/>
              <w:rPr>
                <w:rFonts w:eastAsia="方正仿宋_GBK"/>
              </w:rPr>
            </w:pPr>
            <w:r>
              <w:rPr>
                <w:rFonts w:eastAsia="方正仿宋_GBK"/>
              </w:rPr>
              <w:t>第1.3类气体发生剂、1.3C类无烟火药、第1.4类点火具、2类、4.2、4.3、6.2项车船直装直取，其他类别船-场-车，车-场-船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南京港龙潭港区集装箱公司码头803号泊位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第1.3类气体发生剂，1.3C类无烟火药，第1.4类点火具，第2、3、4、6、8、9类，第5类5.1项(氰化钠、硝酸铵、硝化棉以及剧毒品和其他国家禁止在内河运输的货物除外)</w:t>
            </w:r>
          </w:p>
        </w:tc>
        <w:tc>
          <w:tcPr>
            <w:tcW w:w="1560" w:type="pct"/>
            <w:noWrap w:val="0"/>
            <w:vAlign w:val="center"/>
          </w:tcPr>
          <w:p>
            <w:pPr>
              <w:widowControl/>
              <w:topLinePunct/>
              <w:snapToGrid w:val="0"/>
              <w:spacing w:line="240" w:lineRule="atLeast"/>
              <w:rPr>
                <w:rFonts w:eastAsia="方正仿宋_GBK"/>
              </w:rPr>
            </w:pPr>
            <w:r>
              <w:rPr>
                <w:rFonts w:eastAsia="方正仿宋_GBK"/>
              </w:rPr>
              <w:t>第1.3类气体发生剂、1.3C类无烟火药、第1.4类点火具、2类、4.2、4.3、6.2项车船直装直取，其他类别船-场-车，车-场-船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南京港龙潭港区集装箱公司码头804号泊位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第1.3类气体发生剂，1.3C类无烟火药，第1.4类点火具，第2、3、4、6、8、9类，第5类5.1项(氰化钠、硝酸铵、硝化棉以及剧毒品和其他国家禁止在内河运输的货物除外)</w:t>
            </w:r>
          </w:p>
        </w:tc>
        <w:tc>
          <w:tcPr>
            <w:tcW w:w="1560" w:type="pct"/>
            <w:noWrap w:val="0"/>
            <w:vAlign w:val="center"/>
          </w:tcPr>
          <w:p>
            <w:pPr>
              <w:widowControl/>
              <w:topLinePunct/>
              <w:snapToGrid w:val="0"/>
              <w:spacing w:line="240" w:lineRule="atLeast"/>
              <w:rPr>
                <w:rFonts w:eastAsia="方正仿宋_GBK"/>
              </w:rPr>
            </w:pPr>
            <w:r>
              <w:rPr>
                <w:rFonts w:eastAsia="方正仿宋_GBK"/>
              </w:rPr>
              <w:t>第1.3类气体发生剂、1.3C类无烟火药、第1.4类点火具、2类、4.2、4.3、6.2项车船直装直取，其他类别船-场-车，车-场-船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南京港龙潭港区集装箱公司码头805号泊位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第3类、第4类4.1项、第5类5.1项、第6类6.1项、8、9类***</w:t>
            </w:r>
          </w:p>
        </w:tc>
        <w:tc>
          <w:tcPr>
            <w:tcW w:w="1560" w:type="pct"/>
            <w:noWrap w:val="0"/>
            <w:vAlign w:val="center"/>
          </w:tcPr>
          <w:p>
            <w:pPr>
              <w:widowControl/>
              <w:topLinePunct/>
              <w:snapToGrid w:val="0"/>
              <w:spacing w:line="240" w:lineRule="atLeast"/>
              <w:rPr>
                <w:rFonts w:eastAsia="方正仿宋_GBK"/>
              </w:rPr>
            </w:pPr>
            <w:r>
              <w:rPr>
                <w:rFonts w:eastAsia="方正仿宋_GBK"/>
              </w:rPr>
              <w:t>船-车-场，场-车-船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南京港龙潭港区集装箱公司港口危险货物集装箱堆场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restart"/>
            <w:noWrap w:val="0"/>
            <w:vAlign w:val="center"/>
          </w:tcPr>
          <w:p>
            <w:pPr>
              <w:widowControl/>
              <w:topLinePunct/>
              <w:snapToGrid w:val="0"/>
              <w:spacing w:line="240" w:lineRule="atLeast"/>
              <w:jc w:val="center"/>
              <w:rPr>
                <w:rFonts w:eastAsia="方正仿宋_GBK"/>
              </w:rPr>
            </w:pPr>
            <w:r>
              <w:rPr>
                <w:rFonts w:eastAsia="方正仿宋_GBK"/>
              </w:rPr>
              <w:t>6</w:t>
            </w:r>
          </w:p>
        </w:tc>
        <w:tc>
          <w:tcPr>
            <w:tcW w:w="593" w:type="pct"/>
            <w:vMerge w:val="restart"/>
            <w:noWrap w:val="0"/>
            <w:vAlign w:val="center"/>
          </w:tcPr>
          <w:p>
            <w:pPr>
              <w:widowControl/>
              <w:topLinePunct/>
              <w:snapToGrid w:val="0"/>
              <w:spacing w:line="240" w:lineRule="atLeast"/>
              <w:rPr>
                <w:rFonts w:eastAsia="方正仿宋_GBK"/>
              </w:rPr>
            </w:pPr>
            <w:r>
              <w:rPr>
                <w:rFonts w:eastAsia="方正仿宋_GBK"/>
              </w:rPr>
              <w:t>扬子石化-巴斯夫有限责任公司</w:t>
            </w:r>
          </w:p>
        </w:tc>
        <w:tc>
          <w:tcPr>
            <w:tcW w:w="1315" w:type="pct"/>
            <w:noWrap w:val="0"/>
            <w:vAlign w:val="center"/>
          </w:tcPr>
          <w:p>
            <w:pPr>
              <w:widowControl/>
              <w:topLinePunct/>
              <w:snapToGrid w:val="0"/>
              <w:spacing w:line="240" w:lineRule="atLeast"/>
              <w:rPr>
                <w:rFonts w:eastAsia="方正仿宋_GBK"/>
              </w:rPr>
            </w:pPr>
            <w:r>
              <w:rPr>
                <w:rFonts w:eastAsia="方正仿宋_GBK"/>
              </w:rPr>
              <w:t>乙二醇、二甲基甲酰胺、丙烯酸甲酯、丙烯酸丁酯、丙烯、醋酸乙烯、混合C4、石脑油、丁二烯、液化石油气（LPG）***</w:t>
            </w:r>
          </w:p>
        </w:tc>
        <w:tc>
          <w:tcPr>
            <w:tcW w:w="1560" w:type="pct"/>
            <w:noWrap w:val="0"/>
            <w:vAlign w:val="center"/>
          </w:tcPr>
          <w:p>
            <w:pPr>
              <w:widowControl/>
              <w:topLinePunct/>
              <w:snapToGrid w:val="0"/>
              <w:spacing w:line="240" w:lineRule="atLeast"/>
              <w:rPr>
                <w:rFonts w:eastAsia="方正仿宋_GBK"/>
              </w:rPr>
            </w:pPr>
            <w:r>
              <w:rPr>
                <w:rFonts w:eastAsia="方正仿宋_GBK"/>
              </w:rPr>
              <w:t>船-管线-(储罐)、(储罐)-管线-船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南京港大厂港区扬巴码头1#泊位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苯、甲苯、正丁醇、粗丙烯酸、C9、乙烯焦油、二丙基庚醇、石脑油、裂解C9、甲醇、丙烯酸丁酯、醋酸乙烯、混二甲苯***</w:t>
            </w:r>
          </w:p>
        </w:tc>
        <w:tc>
          <w:tcPr>
            <w:tcW w:w="1560" w:type="pct"/>
            <w:noWrap w:val="0"/>
            <w:vAlign w:val="center"/>
          </w:tcPr>
          <w:p>
            <w:pPr>
              <w:widowControl/>
              <w:topLinePunct/>
              <w:snapToGrid w:val="0"/>
              <w:spacing w:line="240" w:lineRule="atLeast"/>
              <w:rPr>
                <w:rFonts w:eastAsia="方正仿宋_GBK"/>
              </w:rPr>
            </w:pPr>
            <w:r>
              <w:rPr>
                <w:rFonts w:eastAsia="方正仿宋_GBK"/>
              </w:rPr>
              <w:t>船-管线-(储罐)、(储罐)-管线-船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南京港大厂港区扬巴码头2#泊位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石脑油、甲醇***</w:t>
            </w:r>
          </w:p>
        </w:tc>
        <w:tc>
          <w:tcPr>
            <w:tcW w:w="1560" w:type="pct"/>
            <w:noWrap w:val="0"/>
            <w:vAlign w:val="center"/>
          </w:tcPr>
          <w:p>
            <w:pPr>
              <w:widowControl/>
              <w:topLinePunct/>
              <w:snapToGrid w:val="0"/>
              <w:spacing w:line="240" w:lineRule="atLeast"/>
              <w:rPr>
                <w:rFonts w:eastAsia="方正仿宋_GBK"/>
              </w:rPr>
            </w:pPr>
            <w:r>
              <w:rPr>
                <w:rFonts w:eastAsia="方正仿宋_GBK"/>
              </w:rPr>
              <w:t>船-管线-(储罐)、(储罐)-管线-船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南京港大厂港区扬巴码头3#泊位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石脑油、乙二醇、正丁醇***</w:t>
            </w:r>
          </w:p>
        </w:tc>
        <w:tc>
          <w:tcPr>
            <w:tcW w:w="1560" w:type="pct"/>
            <w:noWrap w:val="0"/>
            <w:vAlign w:val="center"/>
          </w:tcPr>
          <w:p>
            <w:pPr>
              <w:widowControl/>
              <w:topLinePunct/>
              <w:snapToGrid w:val="0"/>
              <w:spacing w:line="240" w:lineRule="atLeast"/>
              <w:rPr>
                <w:rFonts w:eastAsia="方正仿宋_GBK"/>
              </w:rPr>
            </w:pPr>
            <w:r>
              <w:rPr>
                <w:rFonts w:eastAsia="方正仿宋_GBK"/>
              </w:rPr>
              <w:t>船-管线-(储罐)、(储罐)-管线-船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南京港大厂港区扬巴码头4#泊位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noWrap w:val="0"/>
            <w:vAlign w:val="center"/>
          </w:tcPr>
          <w:p>
            <w:pPr>
              <w:widowControl/>
              <w:topLinePunct/>
              <w:snapToGrid w:val="0"/>
              <w:spacing w:line="240" w:lineRule="atLeast"/>
              <w:jc w:val="center"/>
              <w:rPr>
                <w:rFonts w:eastAsia="方正仿宋_GBK"/>
              </w:rPr>
            </w:pPr>
            <w:r>
              <w:rPr>
                <w:rFonts w:eastAsia="方正仿宋_GBK"/>
              </w:rPr>
              <w:t>7</w:t>
            </w:r>
          </w:p>
        </w:tc>
        <w:tc>
          <w:tcPr>
            <w:tcW w:w="593" w:type="pct"/>
            <w:noWrap w:val="0"/>
            <w:vAlign w:val="center"/>
          </w:tcPr>
          <w:p>
            <w:pPr>
              <w:widowControl/>
              <w:topLinePunct/>
              <w:snapToGrid w:val="0"/>
              <w:spacing w:line="240" w:lineRule="atLeast"/>
              <w:rPr>
                <w:rFonts w:eastAsia="方正仿宋_GBK"/>
              </w:rPr>
            </w:pPr>
            <w:r>
              <w:rPr>
                <w:rFonts w:eastAsia="方正仿宋_GBK"/>
              </w:rPr>
              <w:t>南京福邦特东方化工有限公司</w:t>
            </w:r>
          </w:p>
        </w:tc>
        <w:tc>
          <w:tcPr>
            <w:tcW w:w="1315" w:type="pct"/>
            <w:noWrap w:val="0"/>
            <w:vAlign w:val="center"/>
          </w:tcPr>
          <w:p>
            <w:pPr>
              <w:widowControl/>
              <w:topLinePunct/>
              <w:snapToGrid w:val="0"/>
              <w:spacing w:line="240" w:lineRule="atLeast"/>
              <w:rPr>
                <w:rFonts w:eastAsia="方正仿宋_GBK"/>
              </w:rPr>
            </w:pPr>
            <w:r>
              <w:rPr>
                <w:rFonts w:eastAsia="方正仿宋_GBK"/>
              </w:rPr>
              <w:t>氢氧化钠（液）、环已酮***</w:t>
            </w:r>
          </w:p>
        </w:tc>
        <w:tc>
          <w:tcPr>
            <w:tcW w:w="1560" w:type="pct"/>
            <w:noWrap w:val="0"/>
            <w:vAlign w:val="center"/>
          </w:tcPr>
          <w:p>
            <w:pPr>
              <w:widowControl/>
              <w:topLinePunct/>
              <w:snapToGrid w:val="0"/>
              <w:spacing w:line="240" w:lineRule="atLeast"/>
              <w:rPr>
                <w:rFonts w:eastAsia="方正仿宋_GBK"/>
              </w:rPr>
            </w:pPr>
            <w:r>
              <w:rPr>
                <w:rFonts w:eastAsia="方正仿宋_GBK"/>
              </w:rPr>
              <w:t>船-管线-(储罐)、(储罐)-管线-船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南京港大厂港区南化码头南化1#泊位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restart"/>
            <w:noWrap w:val="0"/>
            <w:vAlign w:val="center"/>
          </w:tcPr>
          <w:p>
            <w:pPr>
              <w:widowControl/>
              <w:topLinePunct/>
              <w:snapToGrid w:val="0"/>
              <w:spacing w:line="240" w:lineRule="atLeast"/>
              <w:jc w:val="center"/>
              <w:rPr>
                <w:rFonts w:eastAsia="方正仿宋_GBK"/>
              </w:rPr>
            </w:pPr>
            <w:r>
              <w:rPr>
                <w:rFonts w:eastAsia="方正仿宋_GBK"/>
              </w:rPr>
              <w:t>8</w:t>
            </w:r>
          </w:p>
        </w:tc>
        <w:tc>
          <w:tcPr>
            <w:tcW w:w="593" w:type="pct"/>
            <w:vMerge w:val="restart"/>
            <w:noWrap w:val="0"/>
            <w:vAlign w:val="center"/>
          </w:tcPr>
          <w:p>
            <w:pPr>
              <w:widowControl/>
              <w:topLinePunct/>
              <w:snapToGrid w:val="0"/>
              <w:spacing w:line="240" w:lineRule="atLeast"/>
              <w:rPr>
                <w:rFonts w:eastAsia="方正仿宋_GBK"/>
              </w:rPr>
            </w:pPr>
            <w:r>
              <w:rPr>
                <w:rFonts w:eastAsia="方正仿宋_GBK"/>
              </w:rPr>
              <w:t>中国石化集团南京化学工业有限公司</w:t>
            </w:r>
          </w:p>
        </w:tc>
        <w:tc>
          <w:tcPr>
            <w:tcW w:w="1315" w:type="pct"/>
            <w:noWrap w:val="0"/>
            <w:vAlign w:val="center"/>
          </w:tcPr>
          <w:p>
            <w:pPr>
              <w:widowControl/>
              <w:topLinePunct/>
              <w:snapToGrid w:val="0"/>
              <w:spacing w:line="240" w:lineRule="atLeast"/>
              <w:rPr>
                <w:rFonts w:eastAsia="方正仿宋_GBK"/>
              </w:rPr>
            </w:pPr>
            <w:r>
              <w:rPr>
                <w:rFonts w:eastAsia="方正仿宋_GBK"/>
              </w:rPr>
              <w:t>硫酸、硝酸、过氧化氢（双氧水）、液碱***</w:t>
            </w:r>
          </w:p>
        </w:tc>
        <w:tc>
          <w:tcPr>
            <w:tcW w:w="1560" w:type="pct"/>
            <w:noWrap w:val="0"/>
            <w:vAlign w:val="center"/>
          </w:tcPr>
          <w:p>
            <w:pPr>
              <w:widowControl/>
              <w:topLinePunct/>
              <w:snapToGrid w:val="0"/>
              <w:spacing w:line="240" w:lineRule="atLeast"/>
              <w:rPr>
                <w:rFonts w:eastAsia="方正仿宋_GBK"/>
              </w:rPr>
            </w:pPr>
            <w:r>
              <w:rPr>
                <w:rFonts w:eastAsia="方正仿宋_GBK"/>
              </w:rPr>
              <w:t>车-管线-船，船-管线-车</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南京港大厂港区南化公司码头4#泊位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硫酸、盐酸、液体硫磺、苯胺、苯***</w:t>
            </w:r>
          </w:p>
        </w:tc>
        <w:tc>
          <w:tcPr>
            <w:tcW w:w="1560" w:type="pct"/>
            <w:noWrap w:val="0"/>
            <w:vAlign w:val="center"/>
          </w:tcPr>
          <w:p>
            <w:pPr>
              <w:widowControl/>
              <w:topLinePunct/>
              <w:snapToGrid w:val="0"/>
              <w:spacing w:line="240" w:lineRule="atLeast"/>
              <w:rPr>
                <w:rFonts w:eastAsia="方正仿宋_GBK"/>
              </w:rPr>
            </w:pPr>
            <w:r>
              <w:rPr>
                <w:rFonts w:eastAsia="方正仿宋_GBK"/>
              </w:rPr>
              <w:t>船-管线-(储罐)、(储罐)-管线-船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南京港大厂港区南化公司码头5#泊位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苯、苯胺、丙酮、液碱、混二甲苯***</w:t>
            </w:r>
          </w:p>
        </w:tc>
        <w:tc>
          <w:tcPr>
            <w:tcW w:w="1560" w:type="pct"/>
            <w:noWrap w:val="0"/>
            <w:vAlign w:val="center"/>
          </w:tcPr>
          <w:p>
            <w:pPr>
              <w:widowControl/>
              <w:topLinePunct/>
              <w:snapToGrid w:val="0"/>
              <w:spacing w:line="240" w:lineRule="atLeast"/>
              <w:rPr>
                <w:rFonts w:eastAsia="方正仿宋_GBK"/>
              </w:rPr>
            </w:pPr>
            <w:r>
              <w:rPr>
                <w:rFonts w:eastAsia="方正仿宋_GBK"/>
              </w:rPr>
              <w:t>船-管线-(储罐)、(储罐)-管线-船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南京港大厂港区南化公司码头11#泊位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noWrap w:val="0"/>
            <w:vAlign w:val="center"/>
          </w:tcPr>
          <w:p>
            <w:pPr>
              <w:widowControl/>
              <w:topLinePunct/>
              <w:snapToGrid w:val="0"/>
              <w:spacing w:line="240" w:lineRule="atLeast"/>
              <w:jc w:val="center"/>
              <w:rPr>
                <w:rFonts w:eastAsia="方正仿宋_GBK"/>
              </w:rPr>
            </w:pPr>
            <w:r>
              <w:rPr>
                <w:rFonts w:eastAsia="方正仿宋_GBK"/>
              </w:rPr>
              <w:t>9</w:t>
            </w:r>
          </w:p>
        </w:tc>
        <w:tc>
          <w:tcPr>
            <w:tcW w:w="593" w:type="pct"/>
            <w:noWrap w:val="0"/>
            <w:vAlign w:val="center"/>
          </w:tcPr>
          <w:p>
            <w:pPr>
              <w:widowControl/>
              <w:topLinePunct/>
              <w:snapToGrid w:val="0"/>
              <w:spacing w:line="240" w:lineRule="atLeast"/>
              <w:rPr>
                <w:rFonts w:eastAsia="方正仿宋_GBK"/>
              </w:rPr>
            </w:pPr>
            <w:r>
              <w:rPr>
                <w:rFonts w:eastAsia="方正仿宋_GBK"/>
              </w:rPr>
              <w:t>南京扬子物流有限责任公司</w:t>
            </w:r>
          </w:p>
        </w:tc>
        <w:tc>
          <w:tcPr>
            <w:tcW w:w="1315" w:type="pct"/>
            <w:noWrap w:val="0"/>
            <w:vAlign w:val="center"/>
          </w:tcPr>
          <w:p>
            <w:pPr>
              <w:widowControl/>
              <w:topLinePunct/>
              <w:snapToGrid w:val="0"/>
              <w:spacing w:line="240" w:lineRule="atLeast"/>
              <w:rPr>
                <w:rFonts w:eastAsia="方正仿宋_GBK"/>
              </w:rPr>
            </w:pPr>
            <w:r>
              <w:rPr>
                <w:rFonts w:eastAsia="方正仿宋_GBK"/>
              </w:rPr>
              <w:t>液体沥青***</w:t>
            </w:r>
          </w:p>
        </w:tc>
        <w:tc>
          <w:tcPr>
            <w:tcW w:w="1560" w:type="pct"/>
            <w:noWrap w:val="0"/>
            <w:vAlign w:val="center"/>
          </w:tcPr>
          <w:p>
            <w:pPr>
              <w:widowControl/>
              <w:topLinePunct/>
              <w:snapToGrid w:val="0"/>
              <w:spacing w:line="240" w:lineRule="atLeast"/>
              <w:rPr>
                <w:rFonts w:eastAsia="方正仿宋_GBK"/>
              </w:rPr>
            </w:pPr>
            <w:r>
              <w:rPr>
                <w:rFonts w:eastAsia="方正仿宋_GBK"/>
              </w:rPr>
              <w:t>槽车-管线-沥青料仓-管线-船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南京港大厂港区扬子公司码头8号泊位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restart"/>
            <w:noWrap w:val="0"/>
            <w:vAlign w:val="center"/>
          </w:tcPr>
          <w:p>
            <w:pPr>
              <w:widowControl/>
              <w:topLinePunct/>
              <w:snapToGrid w:val="0"/>
              <w:spacing w:line="240" w:lineRule="atLeast"/>
              <w:jc w:val="center"/>
              <w:rPr>
                <w:rFonts w:eastAsia="方正仿宋_GBK"/>
              </w:rPr>
            </w:pPr>
            <w:r>
              <w:rPr>
                <w:rFonts w:eastAsia="方正仿宋_GBK"/>
              </w:rPr>
              <w:t>10</w:t>
            </w:r>
          </w:p>
        </w:tc>
        <w:tc>
          <w:tcPr>
            <w:tcW w:w="593" w:type="pct"/>
            <w:vMerge w:val="restart"/>
            <w:noWrap w:val="0"/>
            <w:vAlign w:val="center"/>
          </w:tcPr>
          <w:p>
            <w:pPr>
              <w:widowControl/>
              <w:topLinePunct/>
              <w:snapToGrid w:val="0"/>
              <w:spacing w:line="240" w:lineRule="atLeast"/>
              <w:rPr>
                <w:rFonts w:eastAsia="方正仿宋_GBK"/>
              </w:rPr>
            </w:pPr>
            <w:r>
              <w:rPr>
                <w:rFonts w:eastAsia="方正仿宋_GBK"/>
              </w:rPr>
              <w:t>中石化长江燃料有限公司南京分公司</w:t>
            </w:r>
          </w:p>
        </w:tc>
        <w:tc>
          <w:tcPr>
            <w:tcW w:w="1315" w:type="pct"/>
            <w:noWrap w:val="0"/>
            <w:vAlign w:val="center"/>
          </w:tcPr>
          <w:p>
            <w:pPr>
              <w:widowControl/>
              <w:topLinePunct/>
              <w:snapToGrid w:val="0"/>
              <w:spacing w:line="240" w:lineRule="atLeast"/>
              <w:rPr>
                <w:rFonts w:eastAsia="方正仿宋_GBK"/>
              </w:rPr>
            </w:pPr>
            <w:r>
              <w:rPr>
                <w:rFonts w:eastAsia="方正仿宋_GBK"/>
              </w:rPr>
              <w:t>柴油（闪点＞60℃）***</w:t>
            </w:r>
          </w:p>
        </w:tc>
        <w:tc>
          <w:tcPr>
            <w:tcW w:w="1560" w:type="pct"/>
            <w:noWrap w:val="0"/>
            <w:vAlign w:val="center"/>
          </w:tcPr>
          <w:p>
            <w:pPr>
              <w:widowControl/>
              <w:topLinePunct/>
              <w:snapToGrid w:val="0"/>
              <w:spacing w:line="240" w:lineRule="atLeast"/>
              <w:rPr>
                <w:rFonts w:eastAsia="方正仿宋_GBK"/>
              </w:rPr>
            </w:pPr>
            <w:r>
              <w:rPr>
                <w:rFonts w:eastAsia="方正仿宋_GBK"/>
              </w:rPr>
              <w:t>船—管道—趸船，趸船—管道—船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南京港栖霞港区684油库码头长轮29008泊位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柴油（闪点＞60℃）***</w:t>
            </w:r>
          </w:p>
        </w:tc>
        <w:tc>
          <w:tcPr>
            <w:tcW w:w="1560" w:type="pct"/>
            <w:noWrap/>
            <w:vAlign w:val="center"/>
          </w:tcPr>
          <w:p>
            <w:pPr>
              <w:widowControl/>
              <w:topLinePunct/>
              <w:snapToGrid w:val="0"/>
              <w:spacing w:line="240" w:lineRule="atLeast"/>
              <w:rPr>
                <w:rFonts w:eastAsia="方正仿宋_GBK"/>
              </w:rPr>
            </w:pPr>
            <w:r>
              <w:rPr>
                <w:rFonts w:eastAsia="方正仿宋_GBK"/>
              </w:rPr>
              <w:t>船-管道-储罐,储罐-管道-船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南京港栖霞港区684油库1号储罐（3000m）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柴油（闪点＞60℃）***</w:t>
            </w:r>
          </w:p>
        </w:tc>
        <w:tc>
          <w:tcPr>
            <w:tcW w:w="1560" w:type="pct"/>
            <w:noWrap/>
            <w:vAlign w:val="center"/>
          </w:tcPr>
          <w:p>
            <w:pPr>
              <w:widowControl/>
              <w:topLinePunct/>
              <w:snapToGrid w:val="0"/>
              <w:spacing w:line="240" w:lineRule="atLeast"/>
              <w:rPr>
                <w:rFonts w:eastAsia="方正仿宋_GBK"/>
              </w:rPr>
            </w:pPr>
            <w:r>
              <w:rPr>
                <w:rFonts w:eastAsia="方正仿宋_GBK"/>
              </w:rPr>
              <w:t>船-管道-储罐,储罐-管道-船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南京港栖霞港区684油库2号储罐（3000m）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柴油（闪点＞60℃）***</w:t>
            </w:r>
          </w:p>
        </w:tc>
        <w:tc>
          <w:tcPr>
            <w:tcW w:w="1560" w:type="pct"/>
            <w:noWrap/>
            <w:vAlign w:val="center"/>
          </w:tcPr>
          <w:p>
            <w:pPr>
              <w:widowControl/>
              <w:topLinePunct/>
              <w:snapToGrid w:val="0"/>
              <w:spacing w:line="240" w:lineRule="atLeast"/>
              <w:rPr>
                <w:rFonts w:eastAsia="方正仿宋_GBK"/>
              </w:rPr>
            </w:pPr>
            <w:r>
              <w:rPr>
                <w:rFonts w:eastAsia="方正仿宋_GBK"/>
              </w:rPr>
              <w:t>船-管道-储罐,储罐-管道-船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南京港栖霞港区684油库3号储罐（5000m）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柴油（闪点＞60℃）***</w:t>
            </w:r>
          </w:p>
        </w:tc>
        <w:tc>
          <w:tcPr>
            <w:tcW w:w="1560" w:type="pct"/>
            <w:noWrap/>
            <w:vAlign w:val="center"/>
          </w:tcPr>
          <w:p>
            <w:pPr>
              <w:widowControl/>
              <w:topLinePunct/>
              <w:snapToGrid w:val="0"/>
              <w:spacing w:line="240" w:lineRule="atLeast"/>
              <w:rPr>
                <w:rFonts w:eastAsia="方正仿宋_GBK"/>
              </w:rPr>
            </w:pPr>
            <w:r>
              <w:rPr>
                <w:rFonts w:eastAsia="方正仿宋_GBK"/>
              </w:rPr>
              <w:t>船-管道-储罐,储罐-管道-船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南京港栖霞港区684油库4号储罐（5000m）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restart"/>
            <w:noWrap w:val="0"/>
            <w:vAlign w:val="center"/>
          </w:tcPr>
          <w:p>
            <w:pPr>
              <w:widowControl/>
              <w:topLinePunct/>
              <w:snapToGrid w:val="0"/>
              <w:spacing w:line="240" w:lineRule="atLeast"/>
              <w:jc w:val="center"/>
              <w:rPr>
                <w:rFonts w:eastAsia="方正仿宋_GBK"/>
              </w:rPr>
            </w:pPr>
            <w:r>
              <w:rPr>
                <w:rFonts w:eastAsia="方正仿宋_GBK"/>
              </w:rPr>
              <w:t>11</w:t>
            </w:r>
          </w:p>
        </w:tc>
        <w:tc>
          <w:tcPr>
            <w:tcW w:w="593" w:type="pct"/>
            <w:vMerge w:val="restart"/>
            <w:noWrap w:val="0"/>
            <w:vAlign w:val="center"/>
          </w:tcPr>
          <w:p>
            <w:pPr>
              <w:widowControl/>
              <w:topLinePunct/>
              <w:snapToGrid w:val="0"/>
              <w:spacing w:line="240" w:lineRule="atLeast"/>
              <w:rPr>
                <w:rFonts w:eastAsia="方正仿宋_GBK"/>
              </w:rPr>
            </w:pPr>
            <w:r>
              <w:rPr>
                <w:rFonts w:eastAsia="方正仿宋_GBK"/>
              </w:rPr>
              <w:t>中国石化集团金陵石油化工有限责任公司</w:t>
            </w:r>
          </w:p>
        </w:tc>
        <w:tc>
          <w:tcPr>
            <w:tcW w:w="1315" w:type="pct"/>
            <w:noWrap w:val="0"/>
            <w:vAlign w:val="center"/>
          </w:tcPr>
          <w:p>
            <w:pPr>
              <w:widowControl/>
              <w:topLinePunct/>
              <w:snapToGrid w:val="0"/>
              <w:spacing w:line="290" w:lineRule="exact"/>
              <w:rPr>
                <w:rFonts w:eastAsia="方正仿宋_GBK"/>
              </w:rPr>
            </w:pPr>
            <w:r>
              <w:rPr>
                <w:rFonts w:eastAsia="方正仿宋_GBK"/>
              </w:rPr>
              <w:t>柴油（0号柴油、-10号柴油、5号白油原料、特种白油料）、液化石油气、甲醇、丙烯、甲基叔丁基醚、二氧化碳（液态）、混合芳烃（重芳烃、碳九、碳十）、变压器油（工业白油）***</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南京港栖霞港区金陵石化码头1号泊位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90" w:lineRule="exact"/>
              <w:rPr>
                <w:rFonts w:eastAsia="方正仿宋_GBK"/>
              </w:rPr>
            </w:pPr>
            <w:r>
              <w:rPr>
                <w:rFonts w:eastAsia="方正仿宋_GBK"/>
              </w:rPr>
              <w:t>汽油、变压器油（白油原料）、甲醇、石脑油（重整料）***</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南京港栖霞港区金陵石化码头2号泊位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90" w:lineRule="exact"/>
              <w:rPr>
                <w:rFonts w:eastAsia="方正仿宋_GBK"/>
              </w:rPr>
            </w:pPr>
            <w:r>
              <w:rPr>
                <w:rFonts w:eastAsia="方正仿宋_GBK"/>
              </w:rPr>
              <w:t>汽油、柴油(0号柴油、-10号柴油、5号白油原料、特种白油料）、苯、甲苯、二甲苯、甲醇、丙烯、甲基叔丁基醚、偏三甲苯、混合芳烃（重芳烃、碳九、碳十）、邻二甲苯、液化石油气（异丁烷）、异辛烷（烷基化油）、石脑油（重整料）***</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南京港栖霞港区金陵石化码头3号泊位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90" w:lineRule="exact"/>
              <w:rPr>
                <w:rFonts w:eastAsia="方正仿宋_GBK"/>
              </w:rPr>
            </w:pPr>
            <w:r>
              <w:rPr>
                <w:rFonts w:eastAsia="方正仿宋_GBK"/>
              </w:rPr>
              <w:t>汽油、煤油（3号白油原料）、柴油、石脑油、渣油、航空煤油、对二甲苯、燃料油***</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南京港栖霞港区金陵石化码头6号泊位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90" w:lineRule="exact"/>
              <w:rPr>
                <w:rFonts w:eastAsia="方正仿宋_GBK"/>
              </w:rPr>
            </w:pPr>
            <w:r>
              <w:rPr>
                <w:rFonts w:eastAsia="方正仿宋_GBK"/>
              </w:rPr>
              <w:t>重油、汽油、煤油(3号白油原料)、柴油、沥青、石脑油、对二甲苯、邻二甲苯、燃料油***</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南京港栖霞港区金陵石化码头7号泊位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90" w:lineRule="exact"/>
              <w:rPr>
                <w:rFonts w:eastAsia="方正仿宋_GBK"/>
              </w:rPr>
            </w:pPr>
            <w:r>
              <w:rPr>
                <w:rFonts w:eastAsia="方正仿宋_GBK"/>
              </w:rPr>
              <w:t>柴油、沥青、蜡油、燃料油***</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南京港栖霞港区金陵石化码头8号泊位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90" w:lineRule="exact"/>
              <w:rPr>
                <w:rFonts w:eastAsia="方正仿宋_GBK"/>
              </w:rPr>
            </w:pPr>
            <w:r>
              <w:rPr>
                <w:rFonts w:eastAsia="方正仿宋_GBK"/>
              </w:rPr>
              <w:t>原油、蜡油、汽油、重油、航空煤油、柴油、石脑油（重整料）***</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南京港栖霞港区金陵石化码头10号泊位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90" w:lineRule="exact"/>
              <w:rPr>
                <w:rFonts w:eastAsia="方正仿宋_GBK"/>
              </w:rPr>
            </w:pPr>
            <w:r>
              <w:rPr>
                <w:rFonts w:eastAsia="方正仿宋_GBK"/>
              </w:rPr>
              <w:t>原油、蜡油、汽油、重油、航空煤油、柴油***</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南京港栖霞港区金陵石化码头11号泊位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90" w:lineRule="exact"/>
              <w:rPr>
                <w:rFonts w:eastAsia="方正仿宋_GBK"/>
              </w:rPr>
            </w:pPr>
            <w:r>
              <w:rPr>
                <w:rFonts w:eastAsia="方正仿宋_GBK"/>
              </w:rPr>
              <w:t>原油、蜡油、汽油、重油、渣油、航空煤油、石脑油（重整料）***</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南京港栖霞港区金陵石化码头12号泊位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90" w:lineRule="exact"/>
              <w:rPr>
                <w:rFonts w:eastAsia="方正仿宋_GBK"/>
              </w:rPr>
            </w:pPr>
            <w:r>
              <w:rPr>
                <w:rFonts w:eastAsia="方正仿宋_GBK"/>
              </w:rPr>
              <w:t>汽油、柴油、抽余油、分子筛料(航煤组分油)、环氧丙烷、丙烯、液化石油气、烷基苯、D40脱芳油、润滑油基础油、轻蜡(轻质液体石蜡)、重蜡、1#燃料油(低硫轻质)3#轻质船用燃料油***</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南京港新生圩港区金泰码头金泰趸1号泊位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restart"/>
            <w:noWrap w:val="0"/>
            <w:vAlign w:val="center"/>
          </w:tcPr>
          <w:p>
            <w:pPr>
              <w:widowControl/>
              <w:topLinePunct/>
              <w:snapToGrid w:val="0"/>
              <w:spacing w:line="240" w:lineRule="atLeast"/>
              <w:jc w:val="center"/>
              <w:rPr>
                <w:rFonts w:eastAsia="方正仿宋_GBK"/>
              </w:rPr>
            </w:pPr>
            <w:r>
              <w:rPr>
                <w:rFonts w:eastAsia="方正仿宋_GBK"/>
              </w:rPr>
              <w:t>12</w:t>
            </w:r>
          </w:p>
        </w:tc>
        <w:tc>
          <w:tcPr>
            <w:tcW w:w="593" w:type="pct"/>
            <w:vMerge w:val="restart"/>
            <w:noWrap w:val="0"/>
            <w:vAlign w:val="center"/>
          </w:tcPr>
          <w:p>
            <w:pPr>
              <w:widowControl/>
              <w:topLinePunct/>
              <w:snapToGrid w:val="0"/>
              <w:spacing w:line="240" w:lineRule="atLeast"/>
              <w:rPr>
                <w:rFonts w:eastAsia="方正仿宋_GBK"/>
              </w:rPr>
            </w:pPr>
            <w:r>
              <w:rPr>
                <w:rFonts w:eastAsia="方正仿宋_GBK"/>
              </w:rPr>
              <w:t>南京龙翔液体化工储运码头有限公司</w:t>
            </w:r>
          </w:p>
        </w:tc>
        <w:tc>
          <w:tcPr>
            <w:tcW w:w="1315" w:type="pct"/>
            <w:noWrap w:val="0"/>
            <w:vAlign w:val="center"/>
          </w:tcPr>
          <w:p>
            <w:pPr>
              <w:widowControl/>
              <w:topLinePunct/>
              <w:snapToGrid w:val="0"/>
              <w:spacing w:line="240" w:lineRule="atLeast"/>
              <w:rPr>
                <w:rFonts w:eastAsia="方正仿宋_GBK"/>
              </w:rPr>
            </w:pPr>
            <w:r>
              <w:rPr>
                <w:rFonts w:eastAsia="方正仿宋_GBK"/>
              </w:rPr>
              <w:t>甲醇、醋酸、乙酸（醋酸）乙烯酯、醋酐、正丙醇、乙酸（醋酸）乙酯、燃料油、烷基(C3-C4)苯***</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南京港西坝港区龙翔码头1号泊位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甲醇、醋酸、乙酸（醋酸）乙烯酯、醋酐、低温乙烯、乙酸（醋酸）乙酯、正丙醇、燃料油、烷基(C3-C4)苯***</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南京港西坝港区龙翔码头2号泊位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乙酸（醋酸）乙烯酯、乙烯、甲醇、乙酸（醋酸）乙酯、正丙醇***</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南京港西坝港区龙翔码头3号泊位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restart"/>
            <w:noWrap w:val="0"/>
            <w:vAlign w:val="center"/>
          </w:tcPr>
          <w:p>
            <w:pPr>
              <w:widowControl/>
              <w:topLinePunct/>
              <w:snapToGrid w:val="0"/>
              <w:spacing w:line="240" w:lineRule="atLeast"/>
              <w:jc w:val="center"/>
              <w:rPr>
                <w:rFonts w:eastAsia="方正仿宋_GBK"/>
              </w:rPr>
            </w:pPr>
            <w:r>
              <w:rPr>
                <w:rFonts w:eastAsia="方正仿宋_GBK"/>
              </w:rPr>
              <w:t>13</w:t>
            </w:r>
          </w:p>
        </w:tc>
        <w:tc>
          <w:tcPr>
            <w:tcW w:w="593" w:type="pct"/>
            <w:vMerge w:val="restart"/>
            <w:noWrap w:val="0"/>
            <w:vAlign w:val="center"/>
          </w:tcPr>
          <w:p>
            <w:pPr>
              <w:widowControl/>
              <w:topLinePunct/>
              <w:snapToGrid w:val="0"/>
              <w:spacing w:line="240" w:lineRule="atLeast"/>
              <w:rPr>
                <w:rFonts w:eastAsia="方正仿宋_GBK"/>
              </w:rPr>
            </w:pPr>
            <w:r>
              <w:rPr>
                <w:rFonts w:eastAsia="方正仿宋_GBK"/>
              </w:rPr>
              <w:t>中国石化扬子石油化工有限公司</w:t>
            </w:r>
          </w:p>
        </w:tc>
        <w:tc>
          <w:tcPr>
            <w:tcW w:w="1315" w:type="pct"/>
            <w:noWrap w:val="0"/>
            <w:vAlign w:val="center"/>
          </w:tcPr>
          <w:p>
            <w:pPr>
              <w:widowControl/>
              <w:topLinePunct/>
              <w:snapToGrid w:val="0"/>
              <w:spacing w:line="240" w:lineRule="atLeast"/>
              <w:rPr>
                <w:rFonts w:eastAsia="方正仿宋_GBK"/>
              </w:rPr>
            </w:pPr>
            <w:r>
              <w:rPr>
                <w:rFonts w:eastAsia="方正仿宋_GBK"/>
              </w:rPr>
              <w:t>甲醇、柴油、汽油、烷基化油（异辛烷）***</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南京港大厂港区扬子石化101号码头A泊位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甲醇、航煤、甲基叔丁基醚***</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南京港大厂港区扬子石化101号码头B泊位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乙二醇、混二甲苯、邻二甲苯***</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南京港大厂港区扬子石化101号码头C泊位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乙二醇、混二甲苯、邻二甲苯***</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南京港大厂港区扬子石化101号码头D泊位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柴油、石脑油、重整料、邻二甲苯、苯、甲苯、汽油（加氢汽油）***</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南京港大厂港区扬子公司码头扬子102号泊位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汽油（加氢汽油）、柴油（5号工业白油）、石脑油、燃料油、煤油、邻二甲苯、乙烯焦油、分子筛料（煤油）、重整料、苯乙烯、甲醇、甲基叔丁基醚、甲苯***</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南京港大厂港区扬子公司码头扬子11号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醋酸、乙二醇、苯、二甲苯、芳烃油（C10）、柴油（裂解柴油）、丁二烯、液化石油气（1-丁烯）、石脑油、混二甲苯、混合C4***</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南京港大厂港区扬子公司码头扬子12号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汽油、煤油、原油、柴油、石脑油、混二甲苯、对二甲苯、乙烯、液化石油气（抽余C4）、重整料、丁二烯、混合C4***</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南京港大厂港区扬子公司码头扬子14号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restart"/>
            <w:noWrap w:val="0"/>
            <w:vAlign w:val="center"/>
          </w:tcPr>
          <w:p>
            <w:pPr>
              <w:snapToGrid w:val="0"/>
              <w:spacing w:line="240" w:lineRule="atLeast"/>
              <w:jc w:val="center"/>
              <w:rPr>
                <w:rFonts w:eastAsia="方正仿宋_GBK"/>
              </w:rPr>
            </w:pPr>
          </w:p>
        </w:tc>
        <w:tc>
          <w:tcPr>
            <w:tcW w:w="593" w:type="pct"/>
            <w:vMerge w:val="restart"/>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汽油、煤油、柴油（5号工业白油）、芳烃油（C10）***</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南京港大厂港区扬子公司码头扬子15号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原油、柴油、石脑油、醋酸、甲醇、汽油、航煤***</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南京港大厂港区扬子公司码头扬子16号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4" w:type="pct"/>
            <w:vMerge w:val="restart"/>
            <w:noWrap w:val="0"/>
            <w:vAlign w:val="center"/>
          </w:tcPr>
          <w:p>
            <w:pPr>
              <w:widowControl/>
              <w:topLinePunct/>
              <w:snapToGrid w:val="0"/>
              <w:spacing w:line="240" w:lineRule="atLeast"/>
              <w:jc w:val="center"/>
              <w:rPr>
                <w:rFonts w:eastAsia="方正仿宋_GBK"/>
              </w:rPr>
            </w:pPr>
            <w:r>
              <w:rPr>
                <w:rFonts w:eastAsia="方正仿宋_GBK"/>
              </w:rPr>
              <w:t>14</w:t>
            </w:r>
          </w:p>
        </w:tc>
        <w:tc>
          <w:tcPr>
            <w:tcW w:w="593" w:type="pct"/>
            <w:vMerge w:val="restart"/>
            <w:noWrap w:val="0"/>
            <w:vAlign w:val="center"/>
          </w:tcPr>
          <w:p>
            <w:pPr>
              <w:widowControl/>
              <w:topLinePunct/>
              <w:snapToGrid w:val="0"/>
              <w:spacing w:line="240" w:lineRule="atLeast"/>
              <w:rPr>
                <w:rFonts w:eastAsia="方正仿宋_GBK"/>
              </w:rPr>
            </w:pPr>
            <w:r>
              <w:rPr>
                <w:rFonts w:eastAsia="方正仿宋_GBK"/>
              </w:rPr>
              <w:t>南京惠洋码头有限公司</w:t>
            </w:r>
          </w:p>
        </w:tc>
        <w:tc>
          <w:tcPr>
            <w:tcW w:w="1315" w:type="pct"/>
            <w:noWrap w:val="0"/>
            <w:vAlign w:val="center"/>
          </w:tcPr>
          <w:p>
            <w:pPr>
              <w:widowControl/>
              <w:topLinePunct/>
              <w:snapToGrid w:val="0"/>
              <w:spacing w:line="240" w:lineRule="atLeast"/>
              <w:rPr>
                <w:rFonts w:eastAsia="方正仿宋_GBK"/>
              </w:rPr>
            </w:pPr>
            <w:r>
              <w:rPr>
                <w:rFonts w:eastAsia="方正仿宋_GBK"/>
              </w:rPr>
              <w:t>汽油、柴油***</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南京港新生圩港区惠洋码头1#泊位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汽油、柴油***</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南京港新生圩港区惠洋码头2号泊位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4" w:type="pct"/>
            <w:vMerge w:val="restart"/>
            <w:noWrap w:val="0"/>
            <w:vAlign w:val="center"/>
          </w:tcPr>
          <w:p>
            <w:pPr>
              <w:widowControl/>
              <w:topLinePunct/>
              <w:snapToGrid w:val="0"/>
              <w:spacing w:line="240" w:lineRule="atLeast"/>
              <w:jc w:val="center"/>
              <w:rPr>
                <w:rFonts w:eastAsia="方正仿宋_GBK"/>
              </w:rPr>
            </w:pPr>
            <w:r>
              <w:rPr>
                <w:rFonts w:eastAsia="方正仿宋_GBK"/>
              </w:rPr>
              <w:t>15</w:t>
            </w:r>
          </w:p>
        </w:tc>
        <w:tc>
          <w:tcPr>
            <w:tcW w:w="593" w:type="pct"/>
            <w:vMerge w:val="restart"/>
            <w:noWrap w:val="0"/>
            <w:vAlign w:val="center"/>
          </w:tcPr>
          <w:p>
            <w:pPr>
              <w:widowControl/>
              <w:topLinePunct/>
              <w:snapToGrid w:val="0"/>
              <w:spacing w:line="240" w:lineRule="atLeast"/>
              <w:rPr>
                <w:rFonts w:eastAsia="方正仿宋_GBK"/>
              </w:rPr>
            </w:pPr>
            <w:r>
              <w:rPr>
                <w:rFonts w:eastAsia="方正仿宋_GBK"/>
              </w:rPr>
              <w:t>南京中石油三江口汇能码头有限公司</w:t>
            </w:r>
          </w:p>
        </w:tc>
        <w:tc>
          <w:tcPr>
            <w:tcW w:w="1315" w:type="pct"/>
            <w:noWrap w:val="0"/>
            <w:vAlign w:val="center"/>
          </w:tcPr>
          <w:p>
            <w:pPr>
              <w:widowControl/>
              <w:topLinePunct/>
              <w:snapToGrid w:val="0"/>
              <w:spacing w:line="240" w:lineRule="atLeast"/>
              <w:rPr>
                <w:rFonts w:eastAsia="方正仿宋_GBK"/>
              </w:rPr>
            </w:pPr>
            <w:r>
              <w:rPr>
                <w:rFonts w:eastAsia="方正仿宋_GBK"/>
              </w:rPr>
              <w:t>汽油、柴油***</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南京港龙潭港区三江口汇能码头1#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汽油、柴油***</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南京港龙潭港区三江口汇能码头2#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4" w:type="pct"/>
            <w:noWrap w:val="0"/>
            <w:vAlign w:val="center"/>
          </w:tcPr>
          <w:p>
            <w:pPr>
              <w:widowControl/>
              <w:topLinePunct/>
              <w:snapToGrid w:val="0"/>
              <w:spacing w:line="240" w:lineRule="atLeast"/>
              <w:jc w:val="center"/>
              <w:rPr>
                <w:rFonts w:eastAsia="方正仿宋_GBK"/>
              </w:rPr>
            </w:pPr>
            <w:r>
              <w:rPr>
                <w:rFonts w:eastAsia="方正仿宋_GBK"/>
              </w:rPr>
              <w:t>16</w:t>
            </w:r>
          </w:p>
        </w:tc>
        <w:tc>
          <w:tcPr>
            <w:tcW w:w="593" w:type="pct"/>
            <w:noWrap w:val="0"/>
            <w:vAlign w:val="center"/>
          </w:tcPr>
          <w:p>
            <w:pPr>
              <w:widowControl/>
              <w:topLinePunct/>
              <w:snapToGrid w:val="0"/>
              <w:spacing w:line="240" w:lineRule="atLeast"/>
              <w:rPr>
                <w:rFonts w:eastAsia="方正仿宋_GBK"/>
              </w:rPr>
            </w:pPr>
            <w:r>
              <w:rPr>
                <w:rFonts w:eastAsia="方正仿宋_GBK"/>
              </w:rPr>
              <w:t>南京兆基实业有限公司</w:t>
            </w:r>
          </w:p>
        </w:tc>
        <w:tc>
          <w:tcPr>
            <w:tcW w:w="1315" w:type="pct"/>
            <w:noWrap w:val="0"/>
            <w:vAlign w:val="center"/>
          </w:tcPr>
          <w:p>
            <w:pPr>
              <w:widowControl/>
              <w:topLinePunct/>
              <w:snapToGrid w:val="0"/>
              <w:spacing w:line="240" w:lineRule="atLeast"/>
              <w:rPr>
                <w:rFonts w:eastAsia="方正仿宋_GBK"/>
              </w:rPr>
            </w:pPr>
            <w:r>
              <w:rPr>
                <w:rFonts w:eastAsia="方正仿宋_GBK"/>
              </w:rPr>
              <w:t>柴油、燃料油、润滑油***</w:t>
            </w:r>
          </w:p>
        </w:tc>
        <w:tc>
          <w:tcPr>
            <w:tcW w:w="1560" w:type="pct"/>
            <w:noWrap w:val="0"/>
            <w:vAlign w:val="center"/>
          </w:tcPr>
          <w:p>
            <w:pPr>
              <w:widowControl/>
              <w:topLinePunct/>
              <w:snapToGrid w:val="0"/>
              <w:spacing w:line="240" w:lineRule="atLeast"/>
              <w:rPr>
                <w:rFonts w:eastAsia="方正仿宋_GBK"/>
              </w:rPr>
            </w:pPr>
            <w:r>
              <w:rPr>
                <w:rFonts w:eastAsia="方正仿宋_GBK"/>
              </w:rPr>
              <w:t>船-管线-车，车-管线-船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南京港栖霞港区吉达霞峰码头1号泊位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restart"/>
            <w:noWrap w:val="0"/>
            <w:vAlign w:val="center"/>
          </w:tcPr>
          <w:p>
            <w:pPr>
              <w:widowControl/>
              <w:topLinePunct/>
              <w:snapToGrid w:val="0"/>
              <w:spacing w:line="240" w:lineRule="atLeast"/>
              <w:jc w:val="center"/>
              <w:rPr>
                <w:rFonts w:eastAsia="方正仿宋_GBK"/>
              </w:rPr>
            </w:pPr>
            <w:r>
              <w:rPr>
                <w:rFonts w:eastAsia="方正仿宋_GBK"/>
              </w:rPr>
              <w:t>17</w:t>
            </w:r>
          </w:p>
        </w:tc>
        <w:tc>
          <w:tcPr>
            <w:tcW w:w="593" w:type="pct"/>
            <w:vMerge w:val="restart"/>
            <w:noWrap w:val="0"/>
            <w:vAlign w:val="center"/>
          </w:tcPr>
          <w:p>
            <w:pPr>
              <w:widowControl/>
              <w:topLinePunct/>
              <w:snapToGrid w:val="0"/>
              <w:spacing w:line="240" w:lineRule="atLeast"/>
              <w:rPr>
                <w:rFonts w:eastAsia="方正仿宋_GBK"/>
              </w:rPr>
            </w:pPr>
            <w:r>
              <w:rPr>
                <w:rFonts w:eastAsia="方正仿宋_GBK"/>
              </w:rPr>
              <w:t>欧德油储(南京)有限责任公司</w:t>
            </w:r>
          </w:p>
        </w:tc>
        <w:tc>
          <w:tcPr>
            <w:tcW w:w="1315" w:type="pct"/>
            <w:noWrap w:val="0"/>
            <w:vAlign w:val="center"/>
          </w:tcPr>
          <w:p>
            <w:pPr>
              <w:widowControl/>
              <w:topLinePunct/>
              <w:snapToGrid w:val="0"/>
              <w:spacing w:line="240" w:lineRule="atLeast"/>
              <w:rPr>
                <w:rFonts w:eastAsia="方正仿宋_GBK"/>
              </w:rPr>
            </w:pPr>
            <w:r>
              <w:rPr>
                <w:rFonts w:eastAsia="方正仿宋_GBK"/>
              </w:rPr>
              <w:t>甲醇、二甲基甲酰胺、醋酸乙烯酯、双环戊二烯、环氧丙烷、十六碳烯、十八碳烯、石脑油、甲乙酮、液氨、改性乙醇、正丁醇、异辛醇、异戊二烯、丙烯酸丁酯***</w:t>
            </w:r>
          </w:p>
        </w:tc>
        <w:tc>
          <w:tcPr>
            <w:tcW w:w="1560" w:type="pct"/>
            <w:noWrap w:val="0"/>
            <w:vAlign w:val="center"/>
          </w:tcPr>
          <w:p>
            <w:pPr>
              <w:widowControl/>
              <w:topLinePunct/>
              <w:snapToGrid w:val="0"/>
              <w:spacing w:line="240" w:lineRule="atLeast"/>
              <w:rPr>
                <w:rFonts w:eastAsia="方正仿宋_GBK"/>
              </w:rPr>
            </w:pPr>
            <w:r>
              <w:rPr>
                <w:rFonts w:eastAsia="方正仿宋_GBK"/>
              </w:rPr>
              <w:t>船-管线-(储罐)，(储罐)-管线-船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南京港西坝港区欧德油储公司码头7号泊位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甲醇、二甲基甲酰胺、醋酸乙烯酯、环氧丙烷、异戊二烯、十六碳烯、十八碳烯、乙醇、甲乙酮、丙烯酸丁酯、石脑油、双环戊二烯、异辛醇、正丁醇***</w:t>
            </w:r>
          </w:p>
        </w:tc>
        <w:tc>
          <w:tcPr>
            <w:tcW w:w="1560" w:type="pct"/>
            <w:noWrap w:val="0"/>
            <w:vAlign w:val="center"/>
          </w:tcPr>
          <w:p>
            <w:pPr>
              <w:widowControl/>
              <w:topLinePunct/>
              <w:snapToGrid w:val="0"/>
              <w:spacing w:line="240" w:lineRule="atLeast"/>
              <w:rPr>
                <w:rFonts w:eastAsia="方正仿宋_GBK"/>
              </w:rPr>
            </w:pPr>
            <w:r>
              <w:rPr>
                <w:rFonts w:eastAsia="方正仿宋_GBK"/>
              </w:rPr>
              <w:t>船-管线-(储罐)，(储罐)-管线-船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南京港西坝港区欧德油储公司码头8号泊位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甲醇、乙醇、甲基叔丁基醚、苯酚、丙酮、异丙基苯、二氯乙烷、50%烧碱溶液、冰醋酸、醋酸乙烯酯、1,4-丁二醇、醋酸正丁酯、甲苯、二甲苯、乙二醇、二甘醇、苯乙烯、环氧丙烷***</w:t>
            </w:r>
          </w:p>
        </w:tc>
        <w:tc>
          <w:tcPr>
            <w:tcW w:w="1560" w:type="pct"/>
            <w:noWrap w:val="0"/>
            <w:vAlign w:val="center"/>
          </w:tcPr>
          <w:p>
            <w:pPr>
              <w:widowControl/>
              <w:topLinePunct/>
              <w:snapToGrid w:val="0"/>
              <w:spacing w:line="240" w:lineRule="atLeast"/>
              <w:rPr>
                <w:rFonts w:eastAsia="方正仿宋_GBK"/>
              </w:rPr>
            </w:pPr>
            <w:r>
              <w:rPr>
                <w:rFonts w:eastAsia="方正仿宋_GBK"/>
              </w:rPr>
              <w:t>船-管线-(储罐)，(储罐)-管线-船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南京港西坝港区欧德油储公司码头9号泊位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restart"/>
            <w:noWrap w:val="0"/>
            <w:vAlign w:val="center"/>
          </w:tcPr>
          <w:p>
            <w:pPr>
              <w:widowControl/>
              <w:topLinePunct/>
              <w:snapToGrid w:val="0"/>
              <w:spacing w:line="240" w:lineRule="atLeast"/>
              <w:jc w:val="center"/>
              <w:rPr>
                <w:rFonts w:eastAsia="方正仿宋_GBK"/>
              </w:rPr>
            </w:pPr>
            <w:r>
              <w:rPr>
                <w:rFonts w:eastAsia="方正仿宋_GBK"/>
              </w:rPr>
              <w:t>18</w:t>
            </w:r>
          </w:p>
        </w:tc>
        <w:tc>
          <w:tcPr>
            <w:tcW w:w="593" w:type="pct"/>
            <w:vMerge w:val="restart"/>
            <w:noWrap w:val="0"/>
            <w:vAlign w:val="center"/>
          </w:tcPr>
          <w:p>
            <w:pPr>
              <w:widowControl/>
              <w:topLinePunct/>
              <w:snapToGrid w:val="0"/>
              <w:spacing w:line="240" w:lineRule="atLeast"/>
              <w:rPr>
                <w:rFonts w:eastAsia="方正仿宋_GBK"/>
              </w:rPr>
            </w:pPr>
            <w:r>
              <w:rPr>
                <w:rFonts w:eastAsia="方正仿宋_GBK"/>
              </w:rPr>
              <w:t>中石化南京清江物流有限公司</w:t>
            </w:r>
          </w:p>
        </w:tc>
        <w:tc>
          <w:tcPr>
            <w:tcW w:w="1315" w:type="pct"/>
            <w:noWrap w:val="0"/>
            <w:vAlign w:val="center"/>
          </w:tcPr>
          <w:p>
            <w:pPr>
              <w:widowControl/>
              <w:topLinePunct/>
              <w:snapToGrid w:val="0"/>
              <w:spacing w:line="240" w:lineRule="atLeast"/>
              <w:rPr>
                <w:rFonts w:eastAsia="方正仿宋_GBK"/>
              </w:rPr>
            </w:pPr>
            <w:r>
              <w:rPr>
                <w:rFonts w:eastAsia="方正仿宋_GBK"/>
              </w:rPr>
              <w:t>甲醇、汽油、柴油、煤油、石脑油、正构烷烃（轻蜡）、沥青、烷基苯、混合芳烃***</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(储罐)-管线-船，船-管线-(储罐)，船-管线-船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南京港西坝港区清江码头1#泊位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苯、甲醇、汽油、柴油、煤油、石脑油、正构烷烃（轻蜡）、沥青、烷基苯、混合芳烃***</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(储罐)-管线-船，船-管线-(储罐)，船-管线-船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南京港西坝港区清江码头2#泊位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vMerge w:val="continue"/>
            <w:noWrap w:val="0"/>
            <w:vAlign w:val="center"/>
          </w:tcPr>
          <w:p>
            <w:pPr>
              <w:snapToGrid w:val="0"/>
              <w:spacing w:line="240" w:lineRule="atLeast"/>
              <w:jc w:val="center"/>
              <w:rPr>
                <w:rFonts w:eastAsia="方正仿宋_GBK"/>
              </w:rPr>
            </w:pPr>
          </w:p>
        </w:tc>
        <w:tc>
          <w:tcPr>
            <w:tcW w:w="593" w:type="pct"/>
            <w:vMerge w:val="continue"/>
            <w:noWrap w:val="0"/>
            <w:vAlign w:val="center"/>
          </w:tcPr>
          <w:p>
            <w:pPr>
              <w:snapToGrid w:val="0"/>
              <w:spacing w:line="240" w:lineRule="atLeast"/>
              <w:rPr>
                <w:rFonts w:eastAsia="方正仿宋_GBK"/>
              </w:rPr>
            </w:pPr>
          </w:p>
        </w:tc>
        <w:tc>
          <w:tcPr>
            <w:tcW w:w="1315" w:type="pct"/>
            <w:noWrap w:val="0"/>
            <w:vAlign w:val="center"/>
          </w:tcPr>
          <w:p>
            <w:pPr>
              <w:widowControl/>
              <w:topLinePunct/>
              <w:snapToGrid w:val="0"/>
              <w:spacing w:line="240" w:lineRule="atLeast"/>
              <w:rPr>
                <w:rFonts w:eastAsia="方正仿宋_GBK"/>
              </w:rPr>
            </w:pPr>
            <w:r>
              <w:rPr>
                <w:rFonts w:eastAsia="方正仿宋_GBK"/>
              </w:rPr>
              <w:t>汽油、柴油、甲基叔丁基醚、甲醇***</w:t>
            </w:r>
          </w:p>
        </w:tc>
        <w:tc>
          <w:tcPr>
            <w:tcW w:w="1560" w:type="pct"/>
            <w:noWrap w:val="0"/>
            <w:vAlign w:val="center"/>
          </w:tcPr>
          <w:p>
            <w:pPr>
              <w:widowControl/>
              <w:topLinePunct/>
              <w:snapToGrid w:val="0"/>
              <w:spacing w:line="240" w:lineRule="atLeast"/>
              <w:rPr>
                <w:rFonts w:eastAsia="方正仿宋_GBK"/>
              </w:rPr>
            </w:pPr>
            <w:r>
              <w:rPr>
                <w:rFonts w:eastAsia="方正仿宋_GBK"/>
              </w:rPr>
              <w:t>船-管线-(储罐)，(储罐)-管线-船</w:t>
            </w:r>
          </w:p>
        </w:tc>
        <w:tc>
          <w:tcPr>
            <w:tcW w:w="1188" w:type="pct"/>
            <w:noWrap w:val="0"/>
            <w:vAlign w:val="center"/>
          </w:tcPr>
          <w:p>
            <w:pPr>
              <w:widowControl/>
              <w:topLinePunct/>
              <w:snapToGrid w:val="0"/>
              <w:spacing w:line="240" w:lineRule="atLeast"/>
              <w:rPr>
                <w:rFonts w:eastAsia="方正仿宋_GBK"/>
              </w:rPr>
            </w:pPr>
            <w:r>
              <w:rPr>
                <w:rFonts w:eastAsia="方正仿宋_GBK"/>
              </w:rPr>
              <w:t>南京港西坝港区清江码头3#泊位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noWrap w:val="0"/>
            <w:vAlign w:val="center"/>
          </w:tcPr>
          <w:p>
            <w:pPr>
              <w:widowControl/>
              <w:topLinePunct/>
              <w:snapToGrid w:val="0"/>
              <w:spacing w:line="240" w:lineRule="atLeast"/>
              <w:jc w:val="center"/>
              <w:rPr>
                <w:rFonts w:eastAsia="方正仿宋_GBK"/>
              </w:rPr>
            </w:pPr>
            <w:r>
              <w:rPr>
                <w:rFonts w:eastAsia="方正仿宋_GBK"/>
              </w:rPr>
              <w:t>19</w:t>
            </w:r>
          </w:p>
        </w:tc>
        <w:tc>
          <w:tcPr>
            <w:tcW w:w="593" w:type="pct"/>
            <w:noWrap w:val="0"/>
            <w:vAlign w:val="center"/>
          </w:tcPr>
          <w:p>
            <w:pPr>
              <w:widowControl/>
              <w:topLinePunct/>
              <w:snapToGrid w:val="0"/>
              <w:spacing w:line="240" w:lineRule="atLeast"/>
              <w:rPr>
                <w:rFonts w:eastAsia="方正仿宋_GBK"/>
              </w:rPr>
            </w:pPr>
            <w:r>
              <w:rPr>
                <w:rFonts w:eastAsia="方正仿宋_GBK"/>
              </w:rPr>
              <w:t>南京炼油厂有限责任公司</w:t>
            </w:r>
          </w:p>
        </w:tc>
        <w:tc>
          <w:tcPr>
            <w:tcW w:w="1315" w:type="pct"/>
            <w:noWrap w:val="0"/>
            <w:vAlign w:val="center"/>
          </w:tcPr>
          <w:p>
            <w:pPr>
              <w:widowControl/>
              <w:topLinePunct/>
              <w:snapToGrid w:val="0"/>
              <w:spacing w:line="240" w:lineRule="atLeast"/>
              <w:rPr>
                <w:rFonts w:eastAsia="方正仿宋_GBK"/>
              </w:rPr>
            </w:pPr>
            <w:r>
              <w:rPr>
                <w:rFonts w:eastAsia="方正仿宋_GBK"/>
              </w:rPr>
              <w:t>汽油、柴油、煤油、沥青、混合芳烃（含粗三甲苯、工业用碳十粗芳烃）、工业白油、基础油***</w:t>
            </w:r>
          </w:p>
        </w:tc>
        <w:tc>
          <w:tcPr>
            <w:tcW w:w="1560" w:type="pct"/>
            <w:noWrap w:val="0"/>
            <w:vAlign w:val="center"/>
          </w:tcPr>
          <w:p>
            <w:pPr>
              <w:widowControl/>
              <w:topLinePunct/>
              <w:snapToGrid w:val="0"/>
              <w:spacing w:line="240" w:lineRule="atLeast"/>
              <w:rPr>
                <w:rFonts w:eastAsia="方正仿宋_GBK"/>
              </w:rPr>
            </w:pPr>
            <w:r>
              <w:rPr>
                <w:rFonts w:eastAsia="方正仿宋_GBK"/>
              </w:rPr>
              <w:t>(储罐)-管线-船，船-管线-(储罐)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南京港栖霞港区南炼码头小7号泊位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4" w:type="pct"/>
            <w:noWrap w:val="0"/>
            <w:vAlign w:val="center"/>
          </w:tcPr>
          <w:p>
            <w:pPr>
              <w:widowControl/>
              <w:topLinePunct/>
              <w:snapToGrid w:val="0"/>
              <w:spacing w:line="240" w:lineRule="atLeast"/>
              <w:jc w:val="center"/>
              <w:rPr>
                <w:rFonts w:eastAsia="方正仿宋_GBK"/>
              </w:rPr>
            </w:pPr>
            <w:r>
              <w:rPr>
                <w:rFonts w:eastAsia="方正仿宋_GBK"/>
              </w:rPr>
              <w:t>20</w:t>
            </w:r>
          </w:p>
        </w:tc>
        <w:tc>
          <w:tcPr>
            <w:tcW w:w="593" w:type="pct"/>
            <w:noWrap w:val="0"/>
            <w:vAlign w:val="center"/>
          </w:tcPr>
          <w:p>
            <w:pPr>
              <w:widowControl/>
              <w:topLinePunct/>
              <w:snapToGrid w:val="0"/>
              <w:spacing w:line="240" w:lineRule="atLeast"/>
              <w:rPr>
                <w:rFonts w:eastAsia="方正仿宋_GBK"/>
              </w:rPr>
            </w:pPr>
            <w:r>
              <w:rPr>
                <w:rFonts w:eastAsia="方正仿宋_GBK"/>
              </w:rPr>
              <w:t>中国石化销售股份有限公司江苏南京石油分公司</w:t>
            </w:r>
          </w:p>
        </w:tc>
        <w:tc>
          <w:tcPr>
            <w:tcW w:w="1315" w:type="pct"/>
            <w:noWrap w:val="0"/>
            <w:vAlign w:val="center"/>
          </w:tcPr>
          <w:p>
            <w:pPr>
              <w:widowControl/>
              <w:topLinePunct/>
              <w:snapToGrid w:val="0"/>
              <w:spacing w:line="240" w:lineRule="atLeast"/>
              <w:rPr>
                <w:rFonts w:eastAsia="方正仿宋_GBK"/>
              </w:rPr>
            </w:pPr>
            <w:r>
              <w:rPr>
                <w:rFonts w:eastAsia="方正仿宋_GBK"/>
              </w:rPr>
              <w:t>汽油、柴油***</w:t>
            </w:r>
          </w:p>
        </w:tc>
        <w:tc>
          <w:tcPr>
            <w:tcW w:w="1560" w:type="pct"/>
            <w:noWrap w:val="0"/>
            <w:vAlign w:val="center"/>
          </w:tcPr>
          <w:p>
            <w:pPr>
              <w:widowControl/>
              <w:topLinePunct/>
              <w:snapToGrid w:val="0"/>
              <w:spacing w:line="240" w:lineRule="atLeast"/>
              <w:rPr>
                <w:rFonts w:eastAsia="方正仿宋_GBK"/>
              </w:rPr>
            </w:pPr>
            <w:r>
              <w:rPr>
                <w:rFonts w:eastAsia="方正仿宋_GBK"/>
              </w:rPr>
              <w:t>船-管线-(储罐)</w:t>
            </w:r>
          </w:p>
        </w:tc>
        <w:tc>
          <w:tcPr>
            <w:tcW w:w="1188" w:type="pct"/>
            <w:noWrap w:val="0"/>
            <w:vAlign w:val="center"/>
          </w:tcPr>
          <w:p>
            <w:pPr>
              <w:widowControl/>
              <w:topLinePunct/>
              <w:snapToGrid w:val="0"/>
              <w:spacing w:line="240" w:lineRule="atLeast"/>
              <w:rPr>
                <w:rFonts w:eastAsia="方正仿宋_GBK"/>
              </w:rPr>
            </w:pPr>
            <w:r>
              <w:rPr>
                <w:rFonts w:eastAsia="方正仿宋_GBK"/>
              </w:rPr>
              <w:t>南京港栖霞港区南京石油公司码头宁石趸1泊位</w:t>
            </w:r>
          </w:p>
        </w:tc>
      </w:tr>
    </w:tbl>
    <w:p>
      <w:pPr>
        <w:pStyle w:val="3"/>
        <w:rPr>
          <w:rFonts w:eastAsia="方正仿宋_GBK"/>
          <w:b w:val="0"/>
          <w:bCs w:val="0"/>
          <w:sz w:val="32"/>
        </w:rPr>
        <w:sectPr>
          <w:pgSz w:w="11907" w:h="16840"/>
          <w:pgMar w:top="1418" w:right="1418" w:bottom="1418" w:left="1418" w:header="851" w:footer="992" w:gutter="0"/>
          <w:pgNumType w:fmt="numberInDash"/>
          <w:cols w:space="720" w:num="1"/>
          <w:docGrid w:type="lines" w:linePitch="326" w:charSpace="0"/>
        </w:sectPr>
      </w:pPr>
    </w:p>
    <w:p>
      <w:pPr>
        <w:snapToGrid w:val="0"/>
        <w:spacing w:line="560" w:lineRule="exact"/>
        <w:rPr>
          <w:rFonts w:eastAsia="仿宋_GB2312"/>
          <w:sz w:val="32"/>
          <w:szCs w:val="32"/>
        </w:rPr>
      </w:pPr>
      <w:bookmarkStart w:id="70" w:name="_Toc121478057"/>
      <w:r>
        <w:rPr>
          <w:rFonts w:eastAsia="仿宋_GB2312"/>
          <w:sz w:val="32"/>
          <w:szCs w:val="32"/>
        </w:rPr>
        <w:t>附件4</w:t>
      </w:r>
      <w:bookmarkEnd w:id="70"/>
    </w:p>
    <w:p>
      <w:pPr>
        <w:pStyle w:val="3"/>
        <w:jc w:val="center"/>
        <w:rPr>
          <w:rFonts w:eastAsia="楷体"/>
          <w:sz w:val="32"/>
        </w:rPr>
      </w:pPr>
      <w:bookmarkStart w:id="71" w:name="_Toc121478058"/>
      <w:r>
        <w:rPr>
          <w:rFonts w:eastAsia="楷体"/>
          <w:b w:val="0"/>
          <w:bCs w:val="0"/>
          <w:sz w:val="32"/>
        </w:rPr>
        <w:t>南京市港口可能发生的事故类型及风险分析一览表</w:t>
      </w:r>
      <w:bookmarkEnd w:id="71"/>
    </w:p>
    <w:tbl>
      <w:tblPr>
        <w:tblStyle w:val="8"/>
        <w:tblW w:w="5000" w:type="pct"/>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576"/>
        <w:gridCol w:w="882"/>
        <w:gridCol w:w="1826"/>
        <w:gridCol w:w="3331"/>
        <w:gridCol w:w="1911"/>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20" w:hRule="atLeast"/>
        </w:trPr>
        <w:tc>
          <w:tcPr>
            <w:tcW w:w="338" w:type="pct"/>
            <w:tcBorders>
              <w:top w:val="single" w:color="auto" w:sz="12"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黑体"/>
                <w:b/>
              </w:rPr>
            </w:pPr>
            <w:r>
              <w:rPr>
                <w:rFonts w:eastAsia="黑体"/>
                <w:b/>
              </w:rPr>
              <w:t>序号</w:t>
            </w:r>
          </w:p>
        </w:tc>
        <w:tc>
          <w:tcPr>
            <w:tcW w:w="517" w:type="pct"/>
            <w:tcBorders>
              <w:top w:val="single" w:color="auto" w:sz="12" w:space="0"/>
              <w:left w:val="nil"/>
              <w:bottom w:val="single" w:color="auto" w:sz="4" w:space="0"/>
              <w:right w:val="single" w:color="auto" w:sz="4" w:space="0"/>
            </w:tcBorders>
            <w:noWrap w:val="0"/>
            <w:vAlign w:val="center"/>
          </w:tcPr>
          <w:p>
            <w:pPr>
              <w:widowControl/>
              <w:topLinePunct/>
              <w:snapToGrid w:val="0"/>
              <w:spacing w:line="360" w:lineRule="atLeast"/>
              <w:jc w:val="center"/>
              <w:rPr>
                <w:rFonts w:eastAsia="黑体"/>
                <w:b/>
              </w:rPr>
            </w:pPr>
            <w:r>
              <w:rPr>
                <w:rFonts w:eastAsia="黑体"/>
                <w:b/>
              </w:rPr>
              <w:t>事故</w:t>
            </w:r>
          </w:p>
          <w:p>
            <w:pPr>
              <w:widowControl/>
              <w:topLinePunct/>
              <w:snapToGrid w:val="0"/>
              <w:spacing w:line="360" w:lineRule="atLeast"/>
              <w:jc w:val="center"/>
              <w:rPr>
                <w:rFonts w:eastAsia="黑体"/>
                <w:b/>
              </w:rPr>
            </w:pPr>
            <w:r>
              <w:rPr>
                <w:rFonts w:eastAsia="黑体"/>
                <w:b/>
              </w:rPr>
              <w:t>类型</w:t>
            </w:r>
          </w:p>
        </w:tc>
        <w:tc>
          <w:tcPr>
            <w:tcW w:w="1070" w:type="pct"/>
            <w:tcBorders>
              <w:top w:val="single" w:color="auto" w:sz="12" w:space="0"/>
              <w:left w:val="nil"/>
              <w:bottom w:val="single" w:color="auto" w:sz="4" w:space="0"/>
              <w:right w:val="single" w:color="auto" w:sz="4" w:space="0"/>
            </w:tcBorders>
            <w:noWrap w:val="0"/>
            <w:vAlign w:val="center"/>
          </w:tcPr>
          <w:p>
            <w:pPr>
              <w:widowControl/>
              <w:topLinePunct/>
              <w:snapToGrid w:val="0"/>
              <w:spacing w:line="360" w:lineRule="atLeast"/>
              <w:jc w:val="center"/>
              <w:rPr>
                <w:rFonts w:eastAsia="黑体"/>
                <w:b/>
              </w:rPr>
            </w:pPr>
            <w:r>
              <w:rPr>
                <w:rFonts w:eastAsia="黑体"/>
                <w:b/>
              </w:rPr>
              <w:t>发生的主要区域、地点或装置</w:t>
            </w:r>
          </w:p>
        </w:tc>
        <w:tc>
          <w:tcPr>
            <w:tcW w:w="1952" w:type="pct"/>
            <w:tcBorders>
              <w:top w:val="single" w:color="auto" w:sz="12" w:space="0"/>
              <w:left w:val="nil"/>
              <w:bottom w:val="single" w:color="auto" w:sz="4" w:space="0"/>
              <w:right w:val="single" w:color="auto" w:sz="4" w:space="0"/>
            </w:tcBorders>
            <w:noWrap w:val="0"/>
            <w:vAlign w:val="center"/>
          </w:tcPr>
          <w:p>
            <w:pPr>
              <w:widowControl/>
              <w:topLinePunct/>
              <w:snapToGrid w:val="0"/>
              <w:spacing w:line="360" w:lineRule="atLeast"/>
              <w:jc w:val="center"/>
              <w:rPr>
                <w:rFonts w:eastAsia="黑体"/>
                <w:b/>
              </w:rPr>
            </w:pPr>
            <w:r>
              <w:rPr>
                <w:rFonts w:eastAsia="黑体"/>
                <w:b/>
              </w:rPr>
              <w:t>危害严重程度</w:t>
            </w:r>
          </w:p>
        </w:tc>
        <w:tc>
          <w:tcPr>
            <w:tcW w:w="1120" w:type="pct"/>
            <w:tcBorders>
              <w:top w:val="single" w:color="auto" w:sz="12" w:space="0"/>
              <w:left w:val="nil"/>
              <w:bottom w:val="single" w:color="auto" w:sz="4" w:space="0"/>
              <w:right w:val="single" w:color="auto" w:sz="12" w:space="0"/>
            </w:tcBorders>
            <w:noWrap w:val="0"/>
            <w:vAlign w:val="center"/>
          </w:tcPr>
          <w:p>
            <w:pPr>
              <w:widowControl/>
              <w:topLinePunct/>
              <w:snapToGrid w:val="0"/>
              <w:spacing w:line="360" w:lineRule="atLeast"/>
              <w:jc w:val="center"/>
              <w:rPr>
                <w:rFonts w:eastAsia="黑体"/>
                <w:b/>
              </w:rPr>
            </w:pPr>
            <w:r>
              <w:rPr>
                <w:rFonts w:eastAsia="黑体"/>
                <w:b/>
              </w:rPr>
              <w:t>影响范围</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1</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火灾、爆炸</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危险货物码头、危险货物罐区、危险货物集装箱堆场，及港区内的加油站等配套设施</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可能造成大范围的人员的伤亡和设备、设施的损坏，造成特别重大影响或损失，还可能引发泄漏扩散事故，造成环境污染</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有可能波及事故单位周边区域和人员，具体视有易燃、易爆物质的量而定</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2</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中毒窒息</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危险货物码头、危险货物罐区及危险货物集装箱堆场、普货码头的仓下救援、码头受限空间</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可能造成大范围的人员的伤亡，造成重大、特别重大影响或损失</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有可能波及事故单位周边区域和人员，具体视有毒物的量而定</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3</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灼烫</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装卸具有腐蚀性危险货物的码头、储存具有腐蚀性危险货物的储罐及堆场、高温设备、设施</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可能造成个别人员的伤亡，造成一定的影响和损失</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事故单位内局部区域及个别人员</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4</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起重伤害</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码头及堆场上的起重机械</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可能造成个别人员的伤亡和设备、设施的损坏，造成一定的影响或损失</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事故单位内局部区域及个别人员</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5</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车辆伤害</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码头、堆场及港区内道路</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可能造成部分人员的伤亡和设备、设施的损坏，造成一定的影响或损失</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事故单位内局部区域及该区域内的人员</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6</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物体打击</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港区内各区域</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可能造成个别人员的伤亡和设备、设施的损坏，造成一定的影响或损失</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事故单位内局部区域及个别人员</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7</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淹溺</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码头前沿</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可能造成个别人员的伤亡，造成一定的影响和损失</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事故单位内局部区域及个别人员</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8</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高处坠落</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高大设施及建构筑物</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可能造成个别人员的伤亡，造成一定的影响和损失</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事故单位内局部区域及个别人员</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9</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触电</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变配电所、电力设施</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可能造成个别人员的伤亡，造成一定的影响和损失</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事故单位内局部区域及个别人员</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10</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机械伤害</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港区内使用到机械设备的场所</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可能造成个别人员的伤亡，造成一定的影响和损失</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事故单位内局部区域及个别人员</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11</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坍塌</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码头及其他建构筑物</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可能造成部分人员的伤亡和设备、设施的损坏，造成重大的影响和损失</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事故单位内局部区域及该区域内的人员</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12</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港口大型装卸机械倾覆</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码头及堆场上的起重机械</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可能造成个别人员的伤亡和设备、设施的损坏，造成重大影响或损失</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事故单位内局部区域及个别人员</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13</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机损货损事故</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件杂货码头及散货码头</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可能造成个别人员的伤亡和设备、设施的损坏，造成重大影响或损失</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事故单位内局部区域及个别人员</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 w:hRule="atLeast"/>
        </w:trPr>
        <w:tc>
          <w:tcPr>
            <w:tcW w:w="338" w:type="pct"/>
            <w:tcBorders>
              <w:top w:val="single" w:color="auto" w:sz="4" w:space="0"/>
              <w:left w:val="single" w:color="auto" w:sz="12" w:space="0"/>
              <w:bottom w:val="single" w:color="auto" w:sz="4" w:space="0"/>
              <w:right w:val="single" w:color="auto" w:sz="4" w:space="0"/>
            </w:tcBorders>
            <w:noWrap w:val="0"/>
            <w:vAlign w:val="center"/>
          </w:tcPr>
          <w:p>
            <w:pPr>
              <w:widowControl/>
              <w:topLinePunct/>
              <w:snapToGrid w:val="0"/>
              <w:spacing w:line="360" w:lineRule="atLeast"/>
              <w:jc w:val="center"/>
              <w:rPr>
                <w:rFonts w:eastAsia="方正仿宋_GBK"/>
              </w:rPr>
            </w:pPr>
            <w:r>
              <w:rPr>
                <w:rFonts w:eastAsia="方正仿宋_GBK"/>
              </w:rPr>
              <w:t>14</w:t>
            </w:r>
          </w:p>
        </w:tc>
        <w:tc>
          <w:tcPr>
            <w:tcW w:w="517"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船舶靠离泊事故</w:t>
            </w:r>
          </w:p>
        </w:tc>
        <w:tc>
          <w:tcPr>
            <w:tcW w:w="1070"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码头前沿</w:t>
            </w:r>
          </w:p>
        </w:tc>
        <w:tc>
          <w:tcPr>
            <w:tcW w:w="1952" w:type="pct"/>
            <w:tcBorders>
              <w:top w:val="single" w:color="auto" w:sz="4" w:space="0"/>
              <w:left w:val="nil"/>
              <w:bottom w:val="single" w:color="auto" w:sz="4"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一般来说可能造成部分人员的伤亡和设备、设施的损坏，造成重大影响或损失；在引发危险货物泄漏、火灾、爆炸等事故的情况下，可能造成大范围的人员的伤亡和设备、设施的损坏，造成特别重大影响或损失</w:t>
            </w:r>
          </w:p>
        </w:tc>
        <w:tc>
          <w:tcPr>
            <w:tcW w:w="1120" w:type="pct"/>
            <w:tcBorders>
              <w:top w:val="single" w:color="auto" w:sz="4" w:space="0"/>
              <w:left w:val="nil"/>
              <w:bottom w:val="single" w:color="auto" w:sz="4" w:space="0"/>
              <w:right w:val="single" w:color="auto" w:sz="12" w:space="0"/>
            </w:tcBorders>
            <w:noWrap w:val="0"/>
            <w:vAlign w:val="center"/>
          </w:tcPr>
          <w:p>
            <w:pPr>
              <w:widowControl/>
              <w:topLinePunct/>
              <w:snapToGrid w:val="0"/>
              <w:spacing w:line="360" w:lineRule="atLeast"/>
              <w:rPr>
                <w:rFonts w:eastAsia="方正仿宋_GBK"/>
              </w:rPr>
            </w:pPr>
          </w:p>
          <w:p>
            <w:pPr>
              <w:widowControl/>
              <w:topLinePunct/>
              <w:snapToGrid w:val="0"/>
              <w:spacing w:line="360" w:lineRule="atLeast"/>
              <w:rPr>
                <w:rFonts w:eastAsia="方正仿宋_GBK"/>
              </w:rPr>
            </w:pPr>
            <w:r>
              <w:rPr>
                <w:rFonts w:eastAsia="方正仿宋_GBK"/>
              </w:rPr>
              <w:t>有可能波及较大范围内的事故单位周边区域和人员，具体视引发的次生、衍生灾害而定</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20" w:hRule="atLeast"/>
        </w:trPr>
        <w:tc>
          <w:tcPr>
            <w:tcW w:w="338" w:type="pct"/>
            <w:tcBorders>
              <w:top w:val="single" w:color="auto" w:sz="4" w:space="0"/>
              <w:left w:val="single" w:color="auto" w:sz="12" w:space="0"/>
              <w:bottom w:val="single" w:color="auto" w:sz="12" w:space="0"/>
              <w:right w:val="single" w:color="auto" w:sz="4" w:space="0"/>
            </w:tcBorders>
            <w:noWrap w:val="0"/>
            <w:vAlign w:val="center"/>
          </w:tcPr>
          <w:p>
            <w:pPr>
              <w:jc w:val="center"/>
              <w:rPr>
                <w:rFonts w:eastAsia="方正仿宋_GBK"/>
              </w:rPr>
            </w:pPr>
            <w:r>
              <w:rPr>
                <w:rFonts w:eastAsia="方正仿宋_GBK"/>
              </w:rPr>
              <w:t>15</w:t>
            </w:r>
          </w:p>
        </w:tc>
        <w:tc>
          <w:tcPr>
            <w:tcW w:w="517" w:type="pct"/>
            <w:tcBorders>
              <w:top w:val="single" w:color="auto" w:sz="4" w:space="0"/>
              <w:left w:val="nil"/>
              <w:bottom w:val="single" w:color="auto" w:sz="12"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泄漏扩散事故</w:t>
            </w:r>
          </w:p>
        </w:tc>
        <w:tc>
          <w:tcPr>
            <w:tcW w:w="1070" w:type="pct"/>
            <w:tcBorders>
              <w:top w:val="single" w:color="auto" w:sz="4" w:space="0"/>
              <w:left w:val="nil"/>
              <w:bottom w:val="single" w:color="auto" w:sz="12"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液体散装危险货物码头及罐区</w:t>
            </w:r>
          </w:p>
        </w:tc>
        <w:tc>
          <w:tcPr>
            <w:tcW w:w="1952" w:type="pct"/>
            <w:tcBorders>
              <w:top w:val="single" w:color="auto" w:sz="4" w:space="0"/>
              <w:left w:val="nil"/>
              <w:bottom w:val="single" w:color="auto" w:sz="12" w:space="0"/>
              <w:right w:val="single" w:color="auto" w:sz="4" w:space="0"/>
            </w:tcBorders>
            <w:noWrap w:val="0"/>
            <w:vAlign w:val="center"/>
          </w:tcPr>
          <w:p>
            <w:pPr>
              <w:widowControl/>
              <w:topLinePunct/>
              <w:snapToGrid w:val="0"/>
              <w:spacing w:line="360" w:lineRule="atLeast"/>
              <w:rPr>
                <w:rFonts w:eastAsia="方正仿宋_GBK"/>
              </w:rPr>
            </w:pPr>
            <w:r>
              <w:rPr>
                <w:rFonts w:eastAsia="方正仿宋_GBK"/>
              </w:rPr>
              <w:t>可能造成严重的污染事故并引发危险货物火灾、爆炸等事故，造成特别重大影响或损失</w:t>
            </w:r>
          </w:p>
        </w:tc>
        <w:tc>
          <w:tcPr>
            <w:tcW w:w="1120" w:type="pct"/>
            <w:tcBorders>
              <w:top w:val="single" w:color="auto" w:sz="4" w:space="0"/>
              <w:left w:val="nil"/>
              <w:bottom w:val="single" w:color="auto" w:sz="12" w:space="0"/>
              <w:right w:val="single" w:color="auto" w:sz="12" w:space="0"/>
            </w:tcBorders>
            <w:noWrap w:val="0"/>
            <w:vAlign w:val="center"/>
          </w:tcPr>
          <w:p>
            <w:pPr>
              <w:widowControl/>
              <w:topLinePunct/>
              <w:snapToGrid w:val="0"/>
              <w:spacing w:line="360" w:lineRule="atLeast"/>
              <w:rPr>
                <w:rFonts w:eastAsia="方正仿宋_GBK"/>
              </w:rPr>
            </w:pPr>
            <w:r>
              <w:rPr>
                <w:rFonts w:eastAsia="方正仿宋_GBK"/>
              </w:rPr>
              <w:t>有可能波及较大范围内的事故单位周边区域和人员，具体视泄漏量，及引发的次生、衍生灾害而定</w:t>
            </w:r>
          </w:p>
        </w:tc>
      </w:tr>
    </w:tbl>
    <w:p>
      <w:pPr>
        <w:rPr>
          <w:b/>
          <w:bCs/>
        </w:rPr>
        <w:sectPr>
          <w:pgSz w:w="11910" w:h="16840"/>
          <w:pgMar w:top="1440" w:right="1800" w:bottom="1440" w:left="1800" w:header="0" w:footer="1014" w:gutter="0"/>
          <w:pgNumType w:fmt="numberInDash"/>
          <w:cols w:space="720" w:num="1"/>
          <w:docGrid w:linePitch="326" w:charSpace="0"/>
        </w:sectPr>
      </w:pPr>
    </w:p>
    <w:p>
      <w:pPr>
        <w:snapToGrid w:val="0"/>
        <w:spacing w:line="560" w:lineRule="exact"/>
        <w:rPr>
          <w:rFonts w:eastAsia="仿宋_GB2312"/>
          <w:sz w:val="32"/>
          <w:szCs w:val="32"/>
        </w:rPr>
      </w:pPr>
      <w:bookmarkStart w:id="72" w:name="_Toc121478059"/>
      <w:r>
        <w:rPr>
          <w:rFonts w:eastAsia="仿宋_GB2312"/>
          <w:sz w:val="32"/>
          <w:szCs w:val="32"/>
        </w:rPr>
        <w:t>附件5</w:t>
      </w:r>
      <w:bookmarkEnd w:id="72"/>
    </w:p>
    <w:p>
      <w:pPr>
        <w:pStyle w:val="3"/>
        <w:jc w:val="center"/>
        <w:rPr>
          <w:rFonts w:eastAsia="楷体"/>
          <w:b w:val="0"/>
          <w:bCs w:val="0"/>
          <w:sz w:val="32"/>
        </w:rPr>
      </w:pPr>
      <w:bookmarkStart w:id="73" w:name="_Toc121478060"/>
      <w:r>
        <w:rPr>
          <w:rFonts w:eastAsia="楷体"/>
          <w:b w:val="0"/>
          <w:bCs w:val="0"/>
          <w:sz w:val="32"/>
        </w:rPr>
        <w:t>南京市交通运输局港口突发事件应急信息报送流程图</w:t>
      </w:r>
      <w:bookmarkEnd w:id="73"/>
    </w:p>
    <w:p>
      <w:r>
        <mc:AlternateContent>
          <mc:Choice Requires="wpg">
            <w:drawing>
              <wp:anchor distT="0" distB="0" distL="114300" distR="114300" simplePos="0" relativeHeight="251659264" behindDoc="0" locked="0" layoutInCell="1" allowOverlap="1">
                <wp:simplePos x="0" y="0"/>
                <wp:positionH relativeFrom="column">
                  <wp:posOffset>133350</wp:posOffset>
                </wp:positionH>
                <wp:positionV relativeFrom="paragraph">
                  <wp:posOffset>63500</wp:posOffset>
                </wp:positionV>
                <wp:extent cx="5168265" cy="7732395"/>
                <wp:effectExtent l="6350" t="6350" r="6985" b="14605"/>
                <wp:wrapNone/>
                <wp:docPr id="100" name="组合 100"/>
                <wp:cNvGraphicFramePr/>
                <a:graphic xmlns:a="http://schemas.openxmlformats.org/drawingml/2006/main">
                  <a:graphicData uri="http://schemas.microsoft.com/office/word/2010/wordprocessingGroup">
                    <wpg:wgp>
                      <wpg:cNvGrpSpPr/>
                      <wpg:grpSpPr>
                        <a:xfrm>
                          <a:off x="0" y="0"/>
                          <a:ext cx="5168265" cy="7732395"/>
                          <a:chOff x="6576" y="853758"/>
                          <a:chExt cx="6309" cy="12177"/>
                        </a:xfrm>
                      </wpg:grpSpPr>
                      <wps:wsp>
                        <wps:cNvPr id="20" name="直接箭头连接符 20"/>
                        <wps:cNvCnPr/>
                        <wps:spPr>
                          <a:xfrm flipH="1" flipV="1">
                            <a:off x="8997" y="860741"/>
                            <a:ext cx="1982" cy="2"/>
                          </a:xfrm>
                          <a:prstGeom prst="straightConnector1">
                            <a:avLst/>
                          </a:prstGeom>
                          <a:ln w="12700" cap="flat" cmpd="sng">
                            <a:solidFill>
                              <a:srgbClr val="000000"/>
                            </a:solidFill>
                            <a:prstDash val="solid"/>
                            <a:headEnd type="none" w="med" len="med"/>
                            <a:tailEnd type="triangle" w="med" len="med"/>
                          </a:ln>
                        </wps:spPr>
                        <wps:bodyPr/>
                      </wps:wsp>
                      <wps:wsp>
                        <wps:cNvPr id="21" name="直接箭头连接符 21"/>
                        <wps:cNvCnPr>
                          <a:endCxn id="25" idx="0"/>
                        </wps:cNvCnPr>
                        <wps:spPr>
                          <a:xfrm>
                            <a:off x="7819" y="855982"/>
                            <a:ext cx="11" cy="472"/>
                          </a:xfrm>
                          <a:prstGeom prst="straightConnector1">
                            <a:avLst/>
                          </a:prstGeom>
                          <a:ln w="12700" cap="flat" cmpd="sng">
                            <a:solidFill>
                              <a:srgbClr val="000000"/>
                            </a:solidFill>
                            <a:prstDash val="solid"/>
                            <a:headEnd type="none" w="med" len="med"/>
                            <a:tailEnd type="triangle" w="med" len="med"/>
                          </a:ln>
                        </wps:spPr>
                        <wps:bodyPr/>
                      </wps:wsp>
                      <wps:wsp>
                        <wps:cNvPr id="22" name="直接箭头连接符 22"/>
                        <wps:cNvCnPr>
                          <a:endCxn id="25" idx="0"/>
                        </wps:cNvCnPr>
                        <wps:spPr>
                          <a:xfrm>
                            <a:off x="7830" y="856882"/>
                            <a:ext cx="5" cy="475"/>
                          </a:xfrm>
                          <a:prstGeom prst="straightConnector1">
                            <a:avLst/>
                          </a:prstGeom>
                          <a:ln w="12700" cap="flat" cmpd="sng">
                            <a:solidFill>
                              <a:srgbClr val="000000"/>
                            </a:solidFill>
                            <a:prstDash val="solid"/>
                            <a:headEnd type="none" w="med" len="med"/>
                            <a:tailEnd type="triangle" w="med" len="med"/>
                          </a:ln>
                        </wps:spPr>
                        <wps:bodyPr/>
                      </wps:wsp>
                      <wps:wsp>
                        <wps:cNvPr id="23" name="直接箭头连接符 23"/>
                        <wps:cNvCnPr>
                          <a:endCxn id="25" idx="0"/>
                        </wps:cNvCnPr>
                        <wps:spPr>
                          <a:xfrm flipH="1">
                            <a:off x="7805" y="855106"/>
                            <a:ext cx="5" cy="321"/>
                          </a:xfrm>
                          <a:prstGeom prst="straightConnector1">
                            <a:avLst/>
                          </a:prstGeom>
                          <a:ln w="12700" cap="flat" cmpd="sng">
                            <a:solidFill>
                              <a:srgbClr val="000000"/>
                            </a:solidFill>
                            <a:prstDash val="solid"/>
                            <a:headEnd type="none" w="med" len="med"/>
                            <a:tailEnd type="triangle" w="med" len="med"/>
                          </a:ln>
                        </wps:spPr>
                        <wps:bodyPr/>
                      </wps:wsp>
                      <wpg:grpSp>
                        <wpg:cNvPr id="26" name="组合 26"/>
                        <wpg:cNvGrpSpPr/>
                        <wpg:grpSpPr>
                          <a:xfrm>
                            <a:off x="6576" y="855436"/>
                            <a:ext cx="2482" cy="537"/>
                            <a:chOff x="6699" y="855548"/>
                            <a:chExt cx="2482" cy="537"/>
                          </a:xfrm>
                        </wpg:grpSpPr>
                        <wps:wsp>
                          <wps:cNvPr id="24" name="矩形 24"/>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25" name="文本框 25"/>
                          <wps:cNvSpPr txBox="1"/>
                          <wps:spPr>
                            <a:xfrm>
                              <a:off x="6709" y="855576"/>
                              <a:ext cx="2443" cy="506"/>
                            </a:xfrm>
                            <a:prstGeom prst="rect">
                              <a:avLst/>
                            </a:prstGeom>
                            <a:noFill/>
                            <a:ln>
                              <a:noFill/>
                            </a:ln>
                          </wps:spPr>
                          <wps:txbx>
                            <w:txbxContent>
                              <w:p>
                                <w:pPr>
                                  <w:pStyle w:val="6"/>
                                  <w:jc w:val="center"/>
                                  <w:rPr>
                                    <w:rFonts w:ascii="方正仿宋_GBK" w:eastAsia="方正仿宋_GBK"/>
                                    <w:sz w:val="22"/>
                                  </w:rPr>
                                </w:pPr>
                                <w:r>
                                  <w:rPr>
                                    <w:rFonts w:hint="eastAsia" w:ascii="方正仿宋_GBK" w:eastAsia="方正仿宋_GBK"/>
                                    <w:color w:val="000000"/>
                                    <w:kern w:val="24"/>
                                    <w:sz w:val="22"/>
                                  </w:rPr>
                                  <w:t>市交通综合执法局应急指挥中心</w:t>
                                </w:r>
                              </w:p>
                            </w:txbxContent>
                          </wps:txbx>
                          <wps:bodyPr lIns="0" tIns="72000" rIns="0" bIns="45720" upright="1"/>
                        </wps:wsp>
                      </wpg:grpSp>
                      <wpg:grpSp>
                        <wpg:cNvPr id="29" name="组合 29"/>
                        <wpg:cNvGrpSpPr/>
                        <wpg:grpSpPr>
                          <a:xfrm>
                            <a:off x="6740" y="860471"/>
                            <a:ext cx="2255" cy="535"/>
                            <a:chOff x="6690" y="860561"/>
                            <a:chExt cx="2255" cy="535"/>
                          </a:xfrm>
                        </wpg:grpSpPr>
                        <wps:wsp>
                          <wps:cNvPr id="27" name="矩形 27"/>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28" name="文本框 28"/>
                          <wps:cNvSpPr txBox="1"/>
                          <wps:spPr>
                            <a:xfrm>
                              <a:off x="6690" y="860601"/>
                              <a:ext cx="2219" cy="495"/>
                            </a:xfrm>
                            <a:prstGeom prst="rect">
                              <a:avLst/>
                            </a:prstGeom>
                            <a:noFill/>
                            <a:ln>
                              <a:noFill/>
                            </a:ln>
                          </wps:spPr>
                          <wps:txb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启动部门应急预案</w:t>
                                </w:r>
                              </w:p>
                            </w:txbxContent>
                          </wps:txbx>
                          <wps:bodyPr upright="1"/>
                        </wps:wsp>
                      </wpg:grpSp>
                      <wps:wsp>
                        <wps:cNvPr id="30" name="直接连接符 30"/>
                        <wps:cNvSpPr>
                          <a:endCxn id="25" idx="0"/>
                        </wps:cNvSpPr>
                        <wps:spPr>
                          <a:xfrm flipH="1" flipV="1">
                            <a:off x="10973" y="860006"/>
                            <a:ext cx="6" cy="748"/>
                          </a:xfrm>
                          <a:prstGeom prst="line">
                            <a:avLst/>
                          </a:prstGeom>
                          <a:ln w="12700" cap="flat" cmpd="sng">
                            <a:solidFill>
                              <a:srgbClr val="000000"/>
                            </a:solidFill>
                            <a:prstDash val="solid"/>
                            <a:headEnd type="none" w="med" len="med"/>
                            <a:tailEnd type="none" w="med" len="med"/>
                          </a:ln>
                        </wps:spPr>
                        <wps:bodyPr upright="1"/>
                      </wps:wsp>
                      <wpg:grpSp>
                        <wpg:cNvPr id="33" name="组合 33"/>
                        <wpg:cNvGrpSpPr/>
                        <wpg:grpSpPr>
                          <a:xfrm>
                            <a:off x="6755" y="859205"/>
                            <a:ext cx="2186" cy="786"/>
                            <a:chOff x="6337" y="859224"/>
                            <a:chExt cx="2186" cy="786"/>
                          </a:xfrm>
                        </wpg:grpSpPr>
                        <wps:wsp>
                          <wps:cNvPr id="31" name="菱形 31"/>
                          <wps:cNvSpPr/>
                          <wps:spPr>
                            <a:xfrm>
                              <a:off x="6337" y="859224"/>
                              <a:ext cx="2186" cy="786"/>
                            </a:xfrm>
                            <a:prstGeom prst="diamond">
                              <a:avLst/>
                            </a:prstGeom>
                            <a:noFill/>
                            <a:ln w="12700" cap="flat" cmpd="sng">
                              <a:solidFill>
                                <a:srgbClr val="000000"/>
                              </a:solidFill>
                              <a:prstDash val="solid"/>
                              <a:round/>
                              <a:headEnd type="none" w="med" len="med"/>
                              <a:tailEnd type="triangle" w="med" len="med"/>
                            </a:ln>
                          </wps:spPr>
                          <wps:bodyPr anchor="ctr" anchorCtr="0" upright="1"/>
                        </wps:wsp>
                        <wps:wsp>
                          <wps:cNvPr id="32" name="文本框 32"/>
                          <wps:cNvSpPr txBox="1"/>
                          <wps:spPr>
                            <a:xfrm>
                              <a:off x="6689" y="859425"/>
                              <a:ext cx="1497" cy="495"/>
                            </a:xfrm>
                            <a:prstGeom prst="rect">
                              <a:avLst/>
                            </a:prstGeom>
                            <a:noFill/>
                            <a:ln>
                              <a:noFill/>
                            </a:ln>
                          </wps:spPr>
                          <wps:txb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Ⅲ级及以上</w:t>
                                </w:r>
                              </w:p>
                            </w:txbxContent>
                          </wps:txbx>
                          <wps:bodyPr upright="1"/>
                        </wps:wsp>
                      </wpg:grpSp>
                      <wps:wsp>
                        <wps:cNvPr id="34" name="直接箭头连接符 34"/>
                        <wps:cNvCnPr>
                          <a:endCxn id="25" idx="0"/>
                        </wps:cNvCnPr>
                        <wps:spPr>
                          <a:xfrm>
                            <a:off x="7862" y="860990"/>
                            <a:ext cx="5" cy="896"/>
                          </a:xfrm>
                          <a:prstGeom prst="straightConnector1">
                            <a:avLst/>
                          </a:prstGeom>
                          <a:ln w="12700" cap="flat" cmpd="sng">
                            <a:solidFill>
                              <a:srgbClr val="000000"/>
                            </a:solidFill>
                            <a:prstDash val="solid"/>
                            <a:headEnd type="none" w="med" len="med"/>
                            <a:tailEnd type="triangle" w="med" len="med"/>
                          </a:ln>
                        </wps:spPr>
                        <wps:bodyPr/>
                      </wps:wsp>
                      <wps:wsp>
                        <wps:cNvPr id="35" name="直接箭头连接符 35"/>
                        <wps:cNvCnPr>
                          <a:endCxn id="25" idx="0"/>
                        </wps:cNvCnPr>
                        <wps:spPr>
                          <a:xfrm flipV="1">
                            <a:off x="8941" y="859591"/>
                            <a:ext cx="1026" cy="16"/>
                          </a:xfrm>
                          <a:prstGeom prst="straightConnector1">
                            <a:avLst/>
                          </a:prstGeom>
                          <a:ln w="12700" cap="flat" cmpd="sng">
                            <a:solidFill>
                              <a:srgbClr val="000000"/>
                            </a:solidFill>
                            <a:prstDash val="solid"/>
                            <a:headEnd type="none" w="med" len="med"/>
                            <a:tailEnd type="triangle" w="med" len="med"/>
                          </a:ln>
                        </wps:spPr>
                        <wps:bodyPr/>
                      </wps:wsp>
                      <wps:wsp>
                        <wps:cNvPr id="36" name="文本框 36"/>
                        <wps:cNvSpPr txBox="1"/>
                        <wps:spPr>
                          <a:xfrm>
                            <a:off x="9425" y="860334"/>
                            <a:ext cx="1305" cy="495"/>
                          </a:xfrm>
                          <a:prstGeom prst="rect">
                            <a:avLst/>
                          </a:prstGeom>
                          <a:noFill/>
                          <a:ln>
                            <a:noFill/>
                          </a:ln>
                        </wps:spPr>
                        <wps:txb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同步启动</w:t>
                              </w:r>
                            </w:p>
                          </w:txbxContent>
                        </wps:txbx>
                        <wps:bodyPr upright="1"/>
                      </wps:wsp>
                      <wpg:grpSp>
                        <wpg:cNvPr id="39" name="组合 39"/>
                        <wpg:cNvGrpSpPr/>
                        <wpg:grpSpPr>
                          <a:xfrm>
                            <a:off x="6971" y="864722"/>
                            <a:ext cx="1775" cy="1213"/>
                            <a:chOff x="10336" y="856497"/>
                            <a:chExt cx="1200" cy="1213"/>
                          </a:xfrm>
                        </wpg:grpSpPr>
                        <wps:wsp>
                          <wps:cNvPr id="37" name="椭圆 37"/>
                          <wps:cNvSpPr/>
                          <wps:spPr>
                            <a:xfrm>
                              <a:off x="10336" y="856497"/>
                              <a:ext cx="1200" cy="1142"/>
                            </a:xfrm>
                            <a:prstGeom prst="ellipse">
                              <a:avLst/>
                            </a:prstGeom>
                            <a:noFill/>
                            <a:ln w="12700" cap="flat" cmpd="sng">
                              <a:solidFill>
                                <a:srgbClr val="000000"/>
                              </a:solidFill>
                              <a:prstDash val="solid"/>
                              <a:headEnd type="none" w="med" len="med"/>
                              <a:tailEnd type="triangle" w="med" len="med"/>
                            </a:ln>
                          </wps:spPr>
                          <wps:bodyPr anchor="ctr" anchorCtr="0" upright="1"/>
                        </wps:wsp>
                        <wps:wsp>
                          <wps:cNvPr id="38" name="文本框 38"/>
                          <wps:cNvSpPr txBox="1"/>
                          <wps:spPr>
                            <a:xfrm>
                              <a:off x="10562" y="856551"/>
                              <a:ext cx="878" cy="1159"/>
                            </a:xfrm>
                            <a:prstGeom prst="rect">
                              <a:avLst/>
                            </a:prstGeom>
                            <a:noFill/>
                            <a:ln>
                              <a:noFill/>
                            </a:ln>
                          </wps:spPr>
                          <wps:txbx>
                            <w:txbxContent>
                              <w:p>
                                <w:pPr>
                                  <w:pStyle w:val="6"/>
                                  <w:adjustRightInd w:val="0"/>
                                  <w:snapToGrid w:val="0"/>
                                  <w:spacing w:before="0" w:beforeAutospacing="0" w:after="0" w:afterAutospacing="0" w:line="200" w:lineRule="atLeast"/>
                                  <w:ind w:firstLine="220" w:firstLineChars="100"/>
                                  <w:rPr>
                                    <w:rFonts w:hint="eastAsia" w:ascii="方正仿宋_GBK" w:eastAsia="方正仿宋_GBK"/>
                                    <w:color w:val="000000"/>
                                    <w:kern w:val="24"/>
                                    <w:sz w:val="22"/>
                                  </w:rPr>
                                </w:pPr>
                                <w:r>
                                  <w:rPr>
                                    <w:rFonts w:hint="eastAsia" w:ascii="方正仿宋_GBK" w:eastAsia="方正仿宋_GBK"/>
                                    <w:color w:val="000000"/>
                                    <w:kern w:val="24"/>
                                    <w:sz w:val="22"/>
                                  </w:rPr>
                                  <w:t>应急结束</w:t>
                                </w:r>
                              </w:p>
                              <w:p>
                                <w:pPr>
                                  <w:pStyle w:val="6"/>
                                  <w:adjustRightInd w:val="0"/>
                                  <w:snapToGrid w:val="0"/>
                                  <w:spacing w:before="0" w:beforeAutospacing="0" w:after="0" w:afterAutospacing="0" w:line="200" w:lineRule="atLeast"/>
                                  <w:ind w:firstLine="220" w:firstLineChars="100"/>
                                  <w:rPr>
                                    <w:rFonts w:hint="eastAsia" w:ascii="方正仿宋_GBK" w:eastAsia="方正仿宋_GBK"/>
                                    <w:color w:val="000000"/>
                                    <w:kern w:val="24"/>
                                    <w:sz w:val="22"/>
                                  </w:rPr>
                                </w:pPr>
                                <w:r>
                                  <w:rPr>
                                    <w:rFonts w:hint="eastAsia" w:ascii="方正仿宋_GBK" w:eastAsia="方正仿宋_GBK"/>
                                    <w:color w:val="000000"/>
                                    <w:kern w:val="24"/>
                                    <w:sz w:val="22"/>
                                  </w:rPr>
                                  <w:t>总结评估</w:t>
                                </w:r>
                              </w:p>
                              <w:p>
                                <w:pPr>
                                  <w:pStyle w:val="6"/>
                                  <w:adjustRightInd w:val="0"/>
                                  <w:snapToGrid w:val="0"/>
                                  <w:spacing w:before="0" w:beforeAutospacing="0" w:after="0" w:afterAutospacing="0" w:line="200" w:lineRule="atLeast"/>
                                  <w:ind w:firstLine="220" w:firstLineChars="100"/>
                                  <w:rPr>
                                    <w:rFonts w:ascii="方正仿宋_GBK" w:eastAsia="方正仿宋_GBK"/>
                                    <w:color w:val="000000"/>
                                    <w:kern w:val="24"/>
                                    <w:sz w:val="22"/>
                                  </w:rPr>
                                </w:pPr>
                                <w:r>
                                  <w:rPr>
                                    <w:rFonts w:hint="eastAsia" w:ascii="方正仿宋_GBK" w:eastAsia="方正仿宋_GBK"/>
                                    <w:color w:val="000000"/>
                                    <w:kern w:val="24"/>
                                    <w:sz w:val="22"/>
                                  </w:rPr>
                                  <w:t>信息上报</w:t>
                                </w:r>
                              </w:p>
                            </w:txbxContent>
                          </wps:txbx>
                          <wps:bodyPr upright="1"/>
                        </wps:wsp>
                      </wpg:grpSp>
                      <wps:wsp>
                        <wps:cNvPr id="40" name="文本框 40"/>
                        <wps:cNvSpPr txBox="1"/>
                        <wps:spPr>
                          <a:xfrm>
                            <a:off x="7810" y="859955"/>
                            <a:ext cx="959" cy="495"/>
                          </a:xfrm>
                          <a:prstGeom prst="rect">
                            <a:avLst/>
                          </a:prstGeom>
                          <a:noFill/>
                          <a:ln>
                            <a:noFill/>
                          </a:ln>
                        </wps:spPr>
                        <wps:txbx>
                          <w:txbxContent>
                            <w:p>
                              <w:pPr>
                                <w:pStyle w:val="6"/>
                                <w:rPr>
                                  <w:rFonts w:ascii="方正仿宋_GBK" w:eastAsia="方正仿宋_GBK"/>
                                </w:rPr>
                              </w:pPr>
                              <w:r>
                                <w:rPr>
                                  <w:rFonts w:hint="eastAsia" w:ascii="方正仿宋_GBK" w:hAnsi="宋体" w:eastAsia="方正仿宋_GBK" w:cs="宋体"/>
                                  <w:color w:val="000000"/>
                                  <w:kern w:val="24"/>
                                </w:rPr>
                                <w:t>Ⅳ级</w:t>
                              </w:r>
                            </w:p>
                          </w:txbxContent>
                        </wps:txbx>
                        <wps:bodyPr upright="1"/>
                      </wps:wsp>
                      <wpg:grpSp>
                        <wpg:cNvPr id="43" name="组合 43"/>
                        <wpg:cNvGrpSpPr/>
                        <wpg:grpSpPr>
                          <a:xfrm>
                            <a:off x="7016" y="853758"/>
                            <a:ext cx="1561" cy="1350"/>
                            <a:chOff x="10557" y="866096"/>
                            <a:chExt cx="1561" cy="1350"/>
                          </a:xfrm>
                        </wpg:grpSpPr>
                        <wps:wsp>
                          <wps:cNvPr id="41" name="八角星 41"/>
                          <wps:cNvSpPr/>
                          <wps:spPr>
                            <a:xfrm>
                              <a:off x="10557" y="866096"/>
                              <a:ext cx="1561" cy="1350"/>
                            </a:xfrm>
                            <a:prstGeom prst="star8">
                              <a:avLst>
                                <a:gd name="adj" fmla="val 37500"/>
                              </a:avLst>
                            </a:prstGeom>
                            <a:noFill/>
                            <a:ln w="12700" cap="flat" cmpd="sng">
                              <a:solidFill>
                                <a:srgbClr val="000000"/>
                              </a:solidFill>
                              <a:prstDash val="solid"/>
                              <a:round/>
                              <a:headEnd type="none" w="med" len="med"/>
                              <a:tailEnd type="triangle" w="med" len="med"/>
                            </a:ln>
                          </wps:spPr>
                          <wps:bodyPr anchor="ctr" anchorCtr="0" upright="1"/>
                        </wps:wsp>
                        <wps:wsp>
                          <wps:cNvPr id="42" name="文本框 42"/>
                          <wps:cNvSpPr txBox="1"/>
                          <wps:spPr>
                            <a:xfrm>
                              <a:off x="10681" y="866611"/>
                              <a:ext cx="1236" cy="451"/>
                            </a:xfrm>
                            <a:prstGeom prst="rect">
                              <a:avLst/>
                            </a:prstGeom>
                            <a:noFill/>
                            <a:ln>
                              <a:noFill/>
                            </a:ln>
                          </wps:spPr>
                          <wps:txbx>
                            <w:txbxContent>
                              <w:p>
                                <w:pPr>
                                  <w:pStyle w:val="6"/>
                                  <w:jc w:val="center"/>
                                  <w:rPr>
                                    <w:rFonts w:ascii="方正仿宋_GBK" w:eastAsia="方正仿宋_GBK"/>
                                    <w:sz w:val="21"/>
                                  </w:rPr>
                                </w:pPr>
                                <w:r>
                                  <w:rPr>
                                    <w:rFonts w:hint="eastAsia" w:ascii="方正仿宋_GBK" w:eastAsia="方正仿宋_GBK"/>
                                    <w:color w:val="000000"/>
                                    <w:kern w:val="24"/>
                                    <w:sz w:val="21"/>
                                  </w:rPr>
                                  <w:t>突发事件</w:t>
                                </w:r>
                              </w:p>
                            </w:txbxContent>
                          </wps:txbx>
                          <wps:bodyPr upright="1"/>
                        </wps:wsp>
                      </wpg:grpSp>
                      <wps:wsp>
                        <wps:cNvPr id="44" name="文本框 44"/>
                        <wps:cNvSpPr txBox="1"/>
                        <wps:spPr>
                          <a:xfrm>
                            <a:off x="9120" y="859237"/>
                            <a:ext cx="627" cy="495"/>
                          </a:xfrm>
                          <a:prstGeom prst="rect">
                            <a:avLst/>
                          </a:prstGeom>
                          <a:noFill/>
                          <a:ln>
                            <a:noFill/>
                          </a:ln>
                        </wps:spPr>
                        <wps:txb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是</w:t>
                              </w:r>
                            </w:p>
                          </w:txbxContent>
                        </wps:txbx>
                        <wps:bodyPr upright="1"/>
                      </wps:wsp>
                      <wpg:grpSp>
                        <wpg:cNvPr id="47" name="组合 47"/>
                        <wpg:cNvGrpSpPr/>
                        <wpg:grpSpPr>
                          <a:xfrm>
                            <a:off x="7133" y="856430"/>
                            <a:ext cx="1404" cy="454"/>
                            <a:chOff x="6699" y="855548"/>
                            <a:chExt cx="2482" cy="536"/>
                          </a:xfrm>
                        </wpg:grpSpPr>
                        <wps:wsp>
                          <wps:cNvPr id="45" name="矩形 45"/>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46" name="文本框 46"/>
                          <wps:cNvSpPr txBox="1"/>
                          <wps:spPr>
                            <a:xfrm>
                              <a:off x="6709" y="855576"/>
                              <a:ext cx="2443" cy="470"/>
                            </a:xfrm>
                            <a:prstGeom prst="rect">
                              <a:avLst/>
                            </a:prstGeom>
                            <a:noFill/>
                            <a:ln>
                              <a:noFill/>
                            </a:ln>
                          </wps:spPr>
                          <wps:txb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信息上报</w:t>
                                </w:r>
                              </w:p>
                            </w:txbxContent>
                          </wps:txbx>
                          <wps:bodyPr lIns="0" tIns="36000" rIns="0" bIns="45720" upright="1"/>
                        </wps:wsp>
                      </wpg:grpSp>
                      <wpg:grpSp>
                        <wpg:cNvPr id="50" name="组合 50"/>
                        <wpg:cNvGrpSpPr/>
                        <wpg:grpSpPr>
                          <a:xfrm>
                            <a:off x="7128" y="857343"/>
                            <a:ext cx="1404" cy="454"/>
                            <a:chOff x="6699" y="855548"/>
                            <a:chExt cx="2482" cy="536"/>
                          </a:xfrm>
                        </wpg:grpSpPr>
                        <wps:wsp>
                          <wps:cNvPr id="48" name="矩形 48"/>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49" name="文本框 49"/>
                          <wps:cNvSpPr txBox="1"/>
                          <wps:spPr>
                            <a:xfrm>
                              <a:off x="6709" y="855576"/>
                              <a:ext cx="2443" cy="470"/>
                            </a:xfrm>
                            <a:prstGeom prst="rect">
                              <a:avLst/>
                            </a:prstGeom>
                            <a:noFill/>
                            <a:ln>
                              <a:noFill/>
                            </a:ln>
                          </wps:spPr>
                          <wps:txbx>
                            <w:txbxContent>
                              <w:p>
                                <w:pPr>
                                  <w:pStyle w:val="6"/>
                                  <w:jc w:val="center"/>
                                  <w:rPr>
                                    <w:rFonts w:ascii="方正仿宋_GBK" w:eastAsia="方正仿宋_GBK"/>
                                    <w:color w:val="000000"/>
                                    <w:kern w:val="24"/>
                                    <w:sz w:val="21"/>
                                  </w:rPr>
                                </w:pPr>
                                <w:r>
                                  <w:rPr>
                                    <w:rFonts w:hint="eastAsia" w:ascii="方正仿宋_GBK" w:eastAsia="方正仿宋_GBK"/>
                                    <w:color w:val="000000"/>
                                    <w:kern w:val="24"/>
                                    <w:sz w:val="21"/>
                                  </w:rPr>
                                  <w:t>先期处置</w:t>
                                </w:r>
                              </w:p>
                            </w:txbxContent>
                          </wps:txbx>
                          <wps:bodyPr lIns="0" tIns="36000" rIns="0" bIns="45720" upright="1"/>
                        </wps:wsp>
                      </wpg:grpSp>
                      <wpg:grpSp>
                        <wpg:cNvPr id="53" name="组合 53"/>
                        <wpg:cNvGrpSpPr/>
                        <wpg:grpSpPr>
                          <a:xfrm>
                            <a:off x="7134" y="858278"/>
                            <a:ext cx="1404" cy="454"/>
                            <a:chOff x="6699" y="855548"/>
                            <a:chExt cx="2482" cy="536"/>
                          </a:xfrm>
                        </wpg:grpSpPr>
                        <wps:wsp>
                          <wps:cNvPr id="51" name="矩形 51"/>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52" name="文本框 52"/>
                          <wps:cNvSpPr txBox="1"/>
                          <wps:spPr>
                            <a:xfrm>
                              <a:off x="6709" y="855576"/>
                              <a:ext cx="2443" cy="470"/>
                            </a:xfrm>
                            <a:prstGeom prst="rect">
                              <a:avLst/>
                            </a:prstGeom>
                            <a:noFill/>
                            <a:ln>
                              <a:noFill/>
                            </a:ln>
                          </wps:spPr>
                          <wps:txbx>
                            <w:txbxContent>
                              <w:p>
                                <w:pPr>
                                  <w:pStyle w:val="6"/>
                                  <w:jc w:val="center"/>
                                  <w:rPr>
                                    <w:rFonts w:ascii="方正仿宋_GBK" w:eastAsia="方正仿宋_GBK"/>
                                    <w:color w:val="000000"/>
                                    <w:kern w:val="24"/>
                                    <w:sz w:val="21"/>
                                  </w:rPr>
                                </w:pPr>
                                <w:r>
                                  <w:rPr>
                                    <w:rFonts w:hint="eastAsia" w:ascii="方正仿宋_GBK" w:eastAsia="方正仿宋_GBK"/>
                                    <w:color w:val="000000"/>
                                    <w:kern w:val="24"/>
                                    <w:sz w:val="21"/>
                                  </w:rPr>
                                  <w:t>信息研判</w:t>
                                </w:r>
                              </w:p>
                            </w:txbxContent>
                          </wps:txbx>
                          <wps:bodyPr lIns="0" tIns="36000" rIns="0" bIns="45720" upright="1"/>
                        </wps:wsp>
                      </wpg:grpSp>
                      <wps:wsp>
                        <wps:cNvPr id="54" name="直接箭头连接符 54"/>
                        <wps:cNvCnPr/>
                        <wps:spPr>
                          <a:xfrm>
                            <a:off x="7824" y="857804"/>
                            <a:ext cx="11" cy="472"/>
                          </a:xfrm>
                          <a:prstGeom prst="straightConnector1">
                            <a:avLst/>
                          </a:prstGeom>
                          <a:ln w="12700" cap="flat" cmpd="sng">
                            <a:solidFill>
                              <a:srgbClr val="000000"/>
                            </a:solidFill>
                            <a:prstDash val="solid"/>
                            <a:headEnd type="none" w="med" len="med"/>
                            <a:tailEnd type="triangle" w="med" len="med"/>
                          </a:ln>
                        </wps:spPr>
                        <wps:bodyPr/>
                      </wps:wsp>
                      <wps:wsp>
                        <wps:cNvPr id="55" name="直接箭头连接符 55"/>
                        <wps:cNvCnPr/>
                        <wps:spPr>
                          <a:xfrm>
                            <a:off x="7840" y="858748"/>
                            <a:ext cx="11" cy="472"/>
                          </a:xfrm>
                          <a:prstGeom prst="straightConnector1">
                            <a:avLst/>
                          </a:prstGeom>
                          <a:ln w="12700" cap="flat" cmpd="sng">
                            <a:solidFill>
                              <a:srgbClr val="000000"/>
                            </a:solidFill>
                            <a:prstDash val="solid"/>
                            <a:headEnd type="none" w="med" len="med"/>
                            <a:tailEnd type="triangle" w="med" len="med"/>
                          </a:ln>
                        </wps:spPr>
                        <wps:bodyPr/>
                      </wps:wsp>
                      <wpg:grpSp>
                        <wpg:cNvPr id="58" name="组合 58"/>
                        <wpg:cNvGrpSpPr/>
                        <wpg:grpSpPr>
                          <a:xfrm>
                            <a:off x="9959" y="859138"/>
                            <a:ext cx="2046" cy="862"/>
                            <a:chOff x="6699" y="855548"/>
                            <a:chExt cx="2482" cy="536"/>
                          </a:xfrm>
                        </wpg:grpSpPr>
                        <wps:wsp>
                          <wps:cNvPr id="56" name="矩形 56"/>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57" name="文本框 57"/>
                          <wps:cNvSpPr txBox="1"/>
                          <wps:spPr>
                            <a:xfrm>
                              <a:off x="6709" y="855576"/>
                              <a:ext cx="2443" cy="470"/>
                            </a:xfrm>
                            <a:prstGeom prst="rect">
                              <a:avLst/>
                            </a:prstGeom>
                            <a:noFill/>
                            <a:ln>
                              <a:noFill/>
                            </a:ln>
                          </wps:spPr>
                          <wps:txbx>
                            <w:txbxContent>
                              <w:p>
                                <w:pPr>
                                  <w:pStyle w:val="6"/>
                                  <w:adjustRightInd w:val="0"/>
                                  <w:snapToGrid w:val="0"/>
                                  <w:spacing w:line="60" w:lineRule="atLeast"/>
                                  <w:jc w:val="center"/>
                                  <w:rPr>
                                    <w:rFonts w:ascii="方正仿宋_GBK" w:eastAsia="方正仿宋_GBK"/>
                                    <w:sz w:val="22"/>
                                  </w:rPr>
                                </w:pPr>
                                <w:r>
                                  <w:rPr>
                                    <w:rFonts w:hint="eastAsia" w:ascii="方正仿宋_GBK" w:eastAsia="方正仿宋_GBK"/>
                                    <w:color w:val="000000"/>
                                    <w:kern w:val="24"/>
                                    <w:sz w:val="22"/>
                                  </w:rPr>
                                  <w:t>上报国家，省、市政府及省交通运输厅</w:t>
                                </w:r>
                              </w:p>
                            </w:txbxContent>
                          </wps:txbx>
                          <wps:bodyPr lIns="0" tIns="72000" rIns="0" bIns="45720" upright="1"/>
                        </wps:wsp>
                      </wpg:grpSp>
                      <wps:wsp>
                        <wps:cNvPr id="59" name="直接箭头连接符 59"/>
                        <wps:cNvCnPr/>
                        <wps:spPr>
                          <a:xfrm>
                            <a:off x="7855" y="859998"/>
                            <a:ext cx="11" cy="472"/>
                          </a:xfrm>
                          <a:prstGeom prst="straightConnector1">
                            <a:avLst/>
                          </a:prstGeom>
                          <a:ln w="12700" cap="flat" cmpd="sng">
                            <a:solidFill>
                              <a:srgbClr val="000000"/>
                            </a:solidFill>
                            <a:prstDash val="solid"/>
                            <a:headEnd type="none" w="med" len="med"/>
                            <a:tailEnd type="triangle" w="med" len="med"/>
                          </a:ln>
                        </wps:spPr>
                        <wps:bodyPr/>
                      </wps:wsp>
                      <wpg:grpSp>
                        <wpg:cNvPr id="62" name="组合 62"/>
                        <wpg:cNvGrpSpPr/>
                        <wpg:grpSpPr>
                          <a:xfrm>
                            <a:off x="7159" y="861876"/>
                            <a:ext cx="1404" cy="454"/>
                            <a:chOff x="6699" y="855548"/>
                            <a:chExt cx="2482" cy="536"/>
                          </a:xfrm>
                        </wpg:grpSpPr>
                        <wps:wsp>
                          <wps:cNvPr id="60" name="矩形 60"/>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61" name="文本框 61"/>
                          <wps:cNvSpPr txBox="1"/>
                          <wps:spPr>
                            <a:xfrm>
                              <a:off x="6709" y="855576"/>
                              <a:ext cx="2443" cy="470"/>
                            </a:xfrm>
                            <a:prstGeom prst="rect">
                              <a:avLst/>
                            </a:prstGeom>
                            <a:noFill/>
                            <a:ln>
                              <a:noFill/>
                            </a:ln>
                          </wps:spPr>
                          <wps:txb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信息上报</w:t>
                                </w:r>
                              </w:p>
                            </w:txbxContent>
                          </wps:txbx>
                          <wps:bodyPr lIns="0" tIns="36000" rIns="0" bIns="45720" upright="1"/>
                        </wps:wsp>
                      </wpg:grpSp>
                      <wpg:grpSp>
                        <wpg:cNvPr id="65" name="组合 65"/>
                        <wpg:cNvGrpSpPr/>
                        <wpg:grpSpPr>
                          <a:xfrm>
                            <a:off x="7153" y="863570"/>
                            <a:ext cx="1404" cy="454"/>
                            <a:chOff x="6699" y="855548"/>
                            <a:chExt cx="2482" cy="536"/>
                          </a:xfrm>
                        </wpg:grpSpPr>
                        <wps:wsp>
                          <wps:cNvPr id="63" name="矩形 63"/>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64" name="文本框 64"/>
                          <wps:cNvSpPr txBox="1"/>
                          <wps:spPr>
                            <a:xfrm>
                              <a:off x="6709" y="855576"/>
                              <a:ext cx="2443" cy="470"/>
                            </a:xfrm>
                            <a:prstGeom prst="rect">
                              <a:avLst/>
                            </a:prstGeom>
                            <a:noFill/>
                            <a:ln>
                              <a:noFill/>
                            </a:ln>
                          </wps:spPr>
                          <wps:txb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应急处置</w:t>
                                </w:r>
                              </w:p>
                            </w:txbxContent>
                          </wps:txbx>
                          <wps:bodyPr lIns="0" tIns="36000" rIns="0" bIns="45720" upright="1"/>
                        </wps:wsp>
                      </wpg:grpSp>
                      <wps:wsp>
                        <wps:cNvPr id="66" name="直接箭头连接符 66"/>
                        <wps:cNvCnPr/>
                        <wps:spPr>
                          <a:xfrm flipH="1">
                            <a:off x="7850" y="862323"/>
                            <a:ext cx="17" cy="1261"/>
                          </a:xfrm>
                          <a:prstGeom prst="straightConnector1">
                            <a:avLst/>
                          </a:prstGeom>
                          <a:ln w="12700" cap="flat" cmpd="sng">
                            <a:solidFill>
                              <a:srgbClr val="000000"/>
                            </a:solidFill>
                            <a:prstDash val="solid"/>
                            <a:headEnd type="none" w="med" len="med"/>
                            <a:tailEnd type="triangle" w="med" len="med"/>
                          </a:ln>
                        </wps:spPr>
                        <wps:bodyPr/>
                      </wps:wsp>
                      <wpg:grpSp>
                        <wpg:cNvPr id="72" name="组合 72"/>
                        <wpg:cNvGrpSpPr/>
                        <wpg:grpSpPr>
                          <a:xfrm>
                            <a:off x="8580" y="861483"/>
                            <a:ext cx="1073" cy="1110"/>
                            <a:chOff x="8580" y="861483"/>
                            <a:chExt cx="1073" cy="1110"/>
                          </a:xfrm>
                        </wpg:grpSpPr>
                        <wps:wsp>
                          <wps:cNvPr id="67" name="直接箭头连接符 67"/>
                          <wps:cNvCnPr>
                            <a:endCxn id="25" idx="0"/>
                          </wps:cNvCnPr>
                          <wps:spPr>
                            <a:xfrm flipV="1">
                              <a:off x="9125" y="861498"/>
                              <a:ext cx="528" cy="5"/>
                            </a:xfrm>
                            <a:prstGeom prst="straightConnector1">
                              <a:avLst/>
                            </a:prstGeom>
                            <a:ln w="12700" cap="flat" cmpd="sng">
                              <a:solidFill>
                                <a:srgbClr val="000000"/>
                              </a:solidFill>
                              <a:prstDash val="solid"/>
                              <a:headEnd type="none" w="med" len="med"/>
                              <a:tailEnd type="triangle" w="med" len="med"/>
                            </a:ln>
                          </wps:spPr>
                          <wps:bodyPr/>
                        </wps:wsp>
                        <wps:wsp>
                          <wps:cNvPr id="68" name="直接连接符 68"/>
                          <wps:cNvSpPr>
                            <a:endCxn id="25" idx="0"/>
                          </wps:cNvSpPr>
                          <wps:spPr>
                            <a:xfrm>
                              <a:off x="8580" y="862060"/>
                              <a:ext cx="542" cy="0"/>
                            </a:xfrm>
                            <a:prstGeom prst="line">
                              <a:avLst/>
                            </a:prstGeom>
                            <a:ln w="12700" cap="flat" cmpd="sng">
                              <a:solidFill>
                                <a:srgbClr val="000000"/>
                              </a:solidFill>
                              <a:prstDash val="solid"/>
                              <a:headEnd type="none" w="med" len="med"/>
                              <a:tailEnd type="none" w="med" len="med"/>
                            </a:ln>
                          </wps:spPr>
                          <wps:bodyPr upright="1"/>
                        </wps:wsp>
                        <wps:wsp>
                          <wps:cNvPr id="69" name="直接连接符 69"/>
                          <wps:cNvSpPr>
                            <a:endCxn id="25" idx="0"/>
                          </wps:cNvSpPr>
                          <wps:spPr>
                            <a:xfrm>
                              <a:off x="9119" y="861483"/>
                              <a:ext cx="0" cy="1110"/>
                            </a:xfrm>
                            <a:prstGeom prst="line">
                              <a:avLst/>
                            </a:prstGeom>
                            <a:ln w="12700" cap="flat" cmpd="sng">
                              <a:solidFill>
                                <a:srgbClr val="000000"/>
                              </a:solidFill>
                              <a:prstDash val="solid"/>
                              <a:headEnd type="none" w="med" len="med"/>
                              <a:tailEnd type="none" w="med" len="med"/>
                            </a:ln>
                          </wps:spPr>
                          <wps:bodyPr upright="1"/>
                        </wps:wsp>
                        <wps:wsp>
                          <wps:cNvPr id="70" name="直接箭头连接符 70"/>
                          <wps:cNvCnPr/>
                          <wps:spPr>
                            <a:xfrm flipV="1">
                              <a:off x="9120" y="862054"/>
                              <a:ext cx="528" cy="5"/>
                            </a:xfrm>
                            <a:prstGeom prst="straightConnector1">
                              <a:avLst/>
                            </a:prstGeom>
                            <a:ln w="12700" cap="flat" cmpd="sng">
                              <a:solidFill>
                                <a:srgbClr val="000000"/>
                              </a:solidFill>
                              <a:prstDash val="solid"/>
                              <a:headEnd type="none" w="med" len="med"/>
                              <a:tailEnd type="triangle" w="med" len="med"/>
                            </a:ln>
                          </wps:spPr>
                          <wps:bodyPr/>
                        </wps:wsp>
                        <wps:wsp>
                          <wps:cNvPr id="71" name="直接箭头连接符 71"/>
                          <wps:cNvCnPr/>
                          <wps:spPr>
                            <a:xfrm flipV="1">
                              <a:off x="9120" y="862585"/>
                              <a:ext cx="528" cy="5"/>
                            </a:xfrm>
                            <a:prstGeom prst="straightConnector1">
                              <a:avLst/>
                            </a:prstGeom>
                            <a:ln w="12700" cap="flat" cmpd="sng">
                              <a:solidFill>
                                <a:srgbClr val="000000"/>
                              </a:solidFill>
                              <a:prstDash val="solid"/>
                              <a:headEnd type="none" w="med" len="med"/>
                              <a:tailEnd type="triangle" w="med" len="med"/>
                            </a:ln>
                          </wps:spPr>
                          <wps:bodyPr/>
                        </wps:wsp>
                      </wpg:grpSp>
                      <wpg:grpSp>
                        <wpg:cNvPr id="78" name="组合 78"/>
                        <wpg:cNvGrpSpPr/>
                        <wpg:grpSpPr>
                          <a:xfrm>
                            <a:off x="8575" y="863205"/>
                            <a:ext cx="1073" cy="1110"/>
                            <a:chOff x="8580" y="861483"/>
                            <a:chExt cx="1073" cy="1110"/>
                          </a:xfrm>
                        </wpg:grpSpPr>
                        <wps:wsp>
                          <wps:cNvPr id="73" name="直接箭头连接符 73"/>
                          <wps:cNvCnPr/>
                          <wps:spPr>
                            <a:xfrm flipV="1">
                              <a:off x="9125" y="861498"/>
                              <a:ext cx="528" cy="5"/>
                            </a:xfrm>
                            <a:prstGeom prst="straightConnector1">
                              <a:avLst/>
                            </a:prstGeom>
                            <a:ln w="12700" cap="flat" cmpd="sng">
                              <a:solidFill>
                                <a:srgbClr val="000000"/>
                              </a:solidFill>
                              <a:prstDash val="solid"/>
                              <a:headEnd type="none" w="med" len="med"/>
                              <a:tailEnd type="triangle" w="med" len="med"/>
                            </a:ln>
                          </wps:spPr>
                          <wps:bodyPr/>
                        </wps:wsp>
                        <wps:wsp>
                          <wps:cNvPr id="74" name="直接连接符 74"/>
                          <wps:cNvSpPr/>
                          <wps:spPr>
                            <a:xfrm>
                              <a:off x="8580" y="862060"/>
                              <a:ext cx="542" cy="0"/>
                            </a:xfrm>
                            <a:prstGeom prst="line">
                              <a:avLst/>
                            </a:prstGeom>
                            <a:ln w="12700" cap="flat" cmpd="sng">
                              <a:solidFill>
                                <a:srgbClr val="000000"/>
                              </a:solidFill>
                              <a:prstDash val="solid"/>
                              <a:headEnd type="none" w="med" len="med"/>
                              <a:tailEnd type="none" w="med" len="med"/>
                            </a:ln>
                          </wps:spPr>
                          <wps:bodyPr upright="1"/>
                        </wps:wsp>
                        <wps:wsp>
                          <wps:cNvPr id="75" name="直接连接符 75"/>
                          <wps:cNvSpPr/>
                          <wps:spPr>
                            <a:xfrm>
                              <a:off x="9119" y="861483"/>
                              <a:ext cx="0" cy="1110"/>
                            </a:xfrm>
                            <a:prstGeom prst="line">
                              <a:avLst/>
                            </a:prstGeom>
                            <a:ln w="12700" cap="flat" cmpd="sng">
                              <a:solidFill>
                                <a:srgbClr val="000000"/>
                              </a:solidFill>
                              <a:prstDash val="solid"/>
                              <a:headEnd type="none" w="med" len="med"/>
                              <a:tailEnd type="none" w="med" len="med"/>
                            </a:ln>
                          </wps:spPr>
                          <wps:bodyPr upright="1"/>
                        </wps:wsp>
                        <wps:wsp>
                          <wps:cNvPr id="76" name="直接箭头连接符 76"/>
                          <wps:cNvCnPr/>
                          <wps:spPr>
                            <a:xfrm flipV="1">
                              <a:off x="9120" y="862054"/>
                              <a:ext cx="528" cy="5"/>
                            </a:xfrm>
                            <a:prstGeom prst="straightConnector1">
                              <a:avLst/>
                            </a:prstGeom>
                            <a:ln w="12700" cap="flat" cmpd="sng">
                              <a:solidFill>
                                <a:srgbClr val="000000"/>
                              </a:solidFill>
                              <a:prstDash val="solid"/>
                              <a:headEnd type="none" w="med" len="med"/>
                              <a:tailEnd type="triangle" w="med" len="med"/>
                            </a:ln>
                          </wps:spPr>
                          <wps:bodyPr/>
                        </wps:wsp>
                        <wps:wsp>
                          <wps:cNvPr id="77" name="直接箭头连接符 77"/>
                          <wps:cNvCnPr/>
                          <wps:spPr>
                            <a:xfrm flipV="1">
                              <a:off x="9120" y="862585"/>
                              <a:ext cx="528" cy="5"/>
                            </a:xfrm>
                            <a:prstGeom prst="straightConnector1">
                              <a:avLst/>
                            </a:prstGeom>
                            <a:ln w="12700" cap="flat" cmpd="sng">
                              <a:solidFill>
                                <a:srgbClr val="000000"/>
                              </a:solidFill>
                              <a:prstDash val="solid"/>
                              <a:headEnd type="none" w="med" len="med"/>
                              <a:tailEnd type="triangle" w="med" len="med"/>
                            </a:ln>
                          </wps:spPr>
                          <wps:bodyPr/>
                        </wps:wsp>
                      </wpg:grpSp>
                      <wpg:grpSp>
                        <wpg:cNvPr id="88" name="组合 88"/>
                        <wpg:cNvGrpSpPr/>
                        <wpg:grpSpPr>
                          <a:xfrm>
                            <a:off x="9627" y="861252"/>
                            <a:ext cx="3258" cy="1615"/>
                            <a:chOff x="9627" y="861252"/>
                            <a:chExt cx="3258" cy="1615"/>
                          </a:xfrm>
                        </wpg:grpSpPr>
                        <wpg:grpSp>
                          <wpg:cNvPr id="81" name="组合 81"/>
                          <wpg:cNvGrpSpPr/>
                          <wpg:grpSpPr>
                            <a:xfrm>
                              <a:off x="9633" y="861252"/>
                              <a:ext cx="3252" cy="513"/>
                              <a:chOff x="6690" y="860561"/>
                              <a:chExt cx="2255" cy="522"/>
                            </a:xfrm>
                          </wpg:grpSpPr>
                          <wps:wsp>
                            <wps:cNvPr id="79" name="矩形 79"/>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80" name="文本框 80"/>
                            <wps:cNvSpPr txBox="1"/>
                            <wps:spPr>
                              <a:xfrm>
                                <a:off x="6690" y="860601"/>
                                <a:ext cx="2219" cy="429"/>
                              </a:xfrm>
                              <a:prstGeom prst="rect">
                                <a:avLst/>
                              </a:prstGeom>
                              <a:noFill/>
                              <a:ln>
                                <a:noFill/>
                              </a:ln>
                            </wps:spPr>
                            <wps:txb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南京交通运输综合应急指挥中心</w:t>
                                  </w:r>
                                </w:p>
                              </w:txbxContent>
                            </wps:txbx>
                            <wps:bodyPr lIns="91440" tIns="36000" rIns="91440" bIns="45720" upright="1"/>
                          </wps:wsp>
                        </wpg:grpSp>
                        <wpg:grpSp>
                          <wpg:cNvPr id="84" name="组合 84"/>
                          <wpg:cNvGrpSpPr/>
                          <wpg:grpSpPr>
                            <a:xfrm>
                              <a:off x="9627" y="861808"/>
                              <a:ext cx="3252" cy="513"/>
                              <a:chOff x="6690" y="860561"/>
                              <a:chExt cx="2255" cy="522"/>
                            </a:xfrm>
                          </wpg:grpSpPr>
                          <wps:wsp>
                            <wps:cNvPr id="82" name="矩形 82"/>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83" name="文本框 83"/>
                            <wps:cNvSpPr txBox="1"/>
                            <wps:spPr>
                              <a:xfrm>
                                <a:off x="6690" y="860601"/>
                                <a:ext cx="2219" cy="429"/>
                              </a:xfrm>
                              <a:prstGeom prst="rect">
                                <a:avLst/>
                              </a:prstGeom>
                              <a:noFill/>
                              <a:ln>
                                <a:noFill/>
                              </a:ln>
                            </wps:spPr>
                            <wps:txb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市交通运输综合行政执法监督局</w:t>
                                  </w:r>
                                </w:p>
                              </w:txbxContent>
                            </wps:txbx>
                            <wps:bodyPr lIns="91440" tIns="36000" rIns="91440" bIns="45720" upright="1"/>
                          </wps:wsp>
                        </wpg:grpSp>
                        <wpg:grpSp>
                          <wpg:cNvPr id="87" name="组合 87"/>
                          <wpg:cNvGrpSpPr/>
                          <wpg:grpSpPr>
                            <a:xfrm>
                              <a:off x="9632" y="862355"/>
                              <a:ext cx="3252" cy="513"/>
                              <a:chOff x="6690" y="860561"/>
                              <a:chExt cx="2255" cy="522"/>
                            </a:xfrm>
                          </wpg:grpSpPr>
                          <wps:wsp>
                            <wps:cNvPr id="85" name="矩形 85"/>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86" name="文本框 86"/>
                            <wps:cNvSpPr txBox="1"/>
                            <wps:spPr>
                              <a:xfrm>
                                <a:off x="6690" y="860601"/>
                                <a:ext cx="2219" cy="429"/>
                              </a:xfrm>
                              <a:prstGeom prst="rect">
                                <a:avLst/>
                              </a:prstGeom>
                              <a:noFill/>
                              <a:ln>
                                <a:noFill/>
                              </a:ln>
                            </wps:spPr>
                            <wps:txb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市沿江港口应急物资公共储备库</w:t>
                                  </w:r>
                                </w:p>
                              </w:txbxContent>
                            </wps:txbx>
                            <wps:bodyPr lIns="91440" tIns="36000" rIns="91440" bIns="45720" upright="1"/>
                          </wps:wsp>
                        </wpg:grpSp>
                      </wpg:grpSp>
                      <wpg:grpSp>
                        <wpg:cNvPr id="98" name="组合 98"/>
                        <wpg:cNvGrpSpPr/>
                        <wpg:grpSpPr>
                          <a:xfrm>
                            <a:off x="9602" y="862972"/>
                            <a:ext cx="3267" cy="1616"/>
                            <a:chOff x="9627" y="861252"/>
                            <a:chExt cx="3267" cy="1616"/>
                          </a:xfrm>
                        </wpg:grpSpPr>
                        <wpg:grpSp>
                          <wpg:cNvPr id="91" name="组合 91"/>
                          <wpg:cNvGrpSpPr/>
                          <wpg:grpSpPr>
                            <a:xfrm>
                              <a:off x="9633" y="861252"/>
                              <a:ext cx="3261" cy="513"/>
                              <a:chOff x="6690" y="860561"/>
                              <a:chExt cx="2261" cy="522"/>
                            </a:xfrm>
                          </wpg:grpSpPr>
                          <wps:wsp>
                            <wps:cNvPr id="89" name="矩形 89"/>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90" name="文本框 90"/>
                            <wps:cNvSpPr txBox="1"/>
                            <wps:spPr>
                              <a:xfrm>
                                <a:off x="6690" y="860601"/>
                                <a:ext cx="2261" cy="429"/>
                              </a:xfrm>
                              <a:prstGeom prst="rect">
                                <a:avLst/>
                              </a:prstGeom>
                              <a:noFill/>
                              <a:ln>
                                <a:noFill/>
                              </a:ln>
                            </wps:spPr>
                            <wps:txb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启用市沿江港口应急物资储备库</w:t>
                                  </w:r>
                                </w:p>
                              </w:txbxContent>
                            </wps:txbx>
                            <wps:bodyPr lIns="91440" tIns="36000" rIns="91440" bIns="45720" upright="1"/>
                          </wps:wsp>
                        </wpg:grpSp>
                        <wpg:grpSp>
                          <wpg:cNvPr id="94" name="组合 94"/>
                          <wpg:cNvGrpSpPr/>
                          <wpg:grpSpPr>
                            <a:xfrm>
                              <a:off x="9627" y="861808"/>
                              <a:ext cx="3252" cy="513"/>
                              <a:chOff x="6690" y="860561"/>
                              <a:chExt cx="2255" cy="522"/>
                            </a:xfrm>
                          </wpg:grpSpPr>
                          <wps:wsp>
                            <wps:cNvPr id="92" name="矩形 92"/>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93" name="文本框 93"/>
                            <wps:cNvSpPr txBox="1"/>
                            <wps:spPr>
                              <a:xfrm>
                                <a:off x="6690" y="860601"/>
                                <a:ext cx="2219" cy="429"/>
                              </a:xfrm>
                              <a:prstGeom prst="rect">
                                <a:avLst/>
                              </a:prstGeom>
                              <a:noFill/>
                              <a:ln>
                                <a:noFill/>
                              </a:ln>
                            </wps:spPr>
                            <wps:txb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市交通运输救援队赶赴救援</w:t>
                                  </w:r>
                                </w:p>
                              </w:txbxContent>
                            </wps:txbx>
                            <wps:bodyPr lIns="91440" tIns="36000" rIns="91440" bIns="45720" upright="1"/>
                          </wps:wsp>
                        </wpg:grpSp>
                        <wpg:grpSp>
                          <wpg:cNvPr id="97" name="组合 97"/>
                          <wpg:cNvGrpSpPr/>
                          <wpg:grpSpPr>
                            <a:xfrm>
                              <a:off x="9632" y="862355"/>
                              <a:ext cx="3252" cy="513"/>
                              <a:chOff x="6690" y="860561"/>
                              <a:chExt cx="2255" cy="522"/>
                            </a:xfrm>
                          </wpg:grpSpPr>
                          <wps:wsp>
                            <wps:cNvPr id="95" name="矩形 95"/>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96" name="文本框 96"/>
                            <wps:cNvSpPr txBox="1"/>
                            <wps:spPr>
                              <a:xfrm>
                                <a:off x="6690" y="860601"/>
                                <a:ext cx="2219" cy="429"/>
                              </a:xfrm>
                              <a:prstGeom prst="rect">
                                <a:avLst/>
                              </a:prstGeom>
                              <a:noFill/>
                              <a:ln>
                                <a:noFill/>
                              </a:ln>
                            </wps:spPr>
                            <wps:txb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应急指挥部成员单位开展工作</w:t>
                                  </w:r>
                                </w:p>
                                <w:p>
                                  <w:pPr>
                                    <w:rPr>
                                      <w:rFonts w:ascii="方正仿宋_GBK" w:hAnsi="宋体" w:eastAsia="方正仿宋_GBK"/>
                                    </w:rPr>
                                  </w:pPr>
                                </w:p>
                              </w:txbxContent>
                            </wps:txbx>
                            <wps:bodyPr lIns="91440" tIns="36000" rIns="91440" bIns="45720" upright="1"/>
                          </wps:wsp>
                        </wpg:grpSp>
                      </wpg:grpSp>
                      <wps:wsp>
                        <wps:cNvPr id="99" name="直接箭头连接符 99"/>
                        <wps:cNvCnPr/>
                        <wps:spPr>
                          <a:xfrm>
                            <a:off x="7862" y="864012"/>
                            <a:ext cx="5" cy="721"/>
                          </a:xfrm>
                          <a:prstGeom prst="straightConnector1">
                            <a:avLst/>
                          </a:prstGeom>
                          <a:ln w="12700"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10.5pt;margin-top:5pt;height:608.85pt;width:406.95pt;z-index:251659264;mso-width-relative:page;mso-height-relative:page;" coordorigin="6576,853758" coordsize="6309,12177" o:gfxdata="UEsDBAoAAAAAAIdO4kAAAAAAAAAAAAAAAAAEAAAAZHJzL1BLAwQUAAAACACHTuJADEnSrtoAAAAK&#10;AQAADwAAAGRycy9kb3ducmV2LnhtbE2PQU/DMAyF70j8h8hI3FiSDtgoTSc0AadpEhvStJvXem21&#10;JqmarN3+PeYEJ8vvWc/fyxYX24qB+tB4Z0BPFAhyhS8bVxn43n48zEGEiK7E1jsycKUAi/z2JsO0&#10;9KP7omETK8EhLqRooI6xS6UMRU0Ww8R35Ng7+t5i5LWvZNnjyOG2lYlSz9Ji4/hDjR0taypOm7M1&#10;8Dni+DbV78PqdFxe99un9W6lyZj7O61eQUS6xL9j+MVndMiZ6eDPrgyiNZBorhJZVzzZn08fX0Ac&#10;WEiS2Qxknsn/FfIfUEsDBBQAAAAIAIdO4kBee+7P5w0AAEiSAAAOAAAAZHJzL2Uyb0RvYy54bWzt&#10;XUuP5EgRviPxH6y6M+33ozQ9KzEzuyAhWGmAu6fK9UBVdsn2TPfcYeEEiANCYsUKtIAQu0hIe0OI&#10;XzOPn0FERjoz/eou19Sre3IPs1XptssOx+OLLyIzH350vV4ZL5O8WGbp5ch6YI6MJJ1k02U6vxz9&#10;5McffyccGUUZp9N4laXJ5ehVUow+evTtbz282owTO1tkq2mSG3CRtBhfbS5Hi7LcjC8uiskiWcfF&#10;g2yTpHBwluXruISv+fximsdXcPX16sI2Tf/iKsunmzybJEUBo0/o4IhfMd/mgtlstpwkT7LJi3WS&#10;lnTVPFnFJTxSsVhuitEjdrezWTIpfzSbFUlprC5H8KQl+xd+BD4/x38vHj2Mx/M83iyWE34L8Ta3&#10;0HimdbxM4UfFpZ7EZWy8yJetS62Xkzwrsln5YJKtL+hBmETgKSyzIZtP8uzFhj3LfHw13wihw4tq&#10;SH3ny05++PLT3FhOQRNMkEkar+GVv/3Pz1//9lcGjoB8rjbzMfzZJ/nm2ebTnA/M6Rs+8vUsX+P/&#10;4WGMaybZV0KyyXVpTGDQs/zQ9r2RMYFjQeDYTuSR7CcLeEF4nu8F/siAw6HnBF5YHX3Kr+A7ZkSn&#10;W7YVBHj4ovrtC7xFcUdXG1DMQkqreD9pPVvEm4S9hALFwKVlS2H98Zs3v/7r2399/frLb97970/4&#10;+au/GXCcSYqd8zjlcivGBYiwEpoxWy033wPJj9inn+InRZBhFAUkEN8MXIsEUgnUikKbxGHXRBGP&#10;N3lRfpJkawM/XI6KMo+X80X5OEtTsIYsp9+IX/6gKEmG1Qn406vUuILbsANUhkkM5j0Ds4KP6w2o&#10;SJHO2Q0W2Wo5/Xi5WuEpRT5//niVGy9jNDH2H7+j2p/hrzyJiwX9HTtET7RI4unTdGqUrzagein4&#10;nBHewzqZjoxVAi4KP8GdxuMyXq7kX5b5Mk7nq56/Bt1YpaAiqAwkc/z0PJu+Yq+CjYOSoHYfQ1vg&#10;FXPT6tYW9nbxVkDDUFvwcZN0+vg6ZbZpg+Usp8y48J3V/hC/qFqFp3JTDEILbIaZlIf6wqQoNAju&#10;Ca3RDbQGdenbmWkQWPuNGsReYk0x9qNBDjgCpkF+2NQg7s7dgLly4Y21CyKHdWYK5NyiQA66h/0o&#10;kAxsNWdkgsKQM7JMv+6MuCo5NnOEWpUasW+AKnEgdFisaANSq0FFGGDaMwgpKojPc52GRthuBXAA&#10;DpKySKjoRyKueW4LKrZOFfp0CqDoClF98Y/X//2LYbuKoQlE3RvD/a5nrWJ4/5O2nHAO4I+Btx7k&#10;l2YI6BhCOAEIhEQnnbIfPz4cNOJ0ssggJ5yU+Yh/eVxSjvhikyN4RmQOd3ds1Ahekazsze9/+ebz&#10;r978+TMDkCAzNIYUUXuM8vq7GSBDgSB7sKAfYP5E7hczLSZsqUcuhAdEgx55ZmEx76dH6P6FYnU7&#10;sfL6+TV/IkLnxur7KaRsADtK9iEA0gC+5NXoc/bB9WB8ZPS9H2nolL+y5PDAPhHEW/eJEb2qYT4x&#10;cDng8k03YC8VcBzPgW3b44HSc1rpsx+JEz2fnzhZPO07VbxhKSpMOxAAHD55hryWi4r7RObhOfjY&#10;wicKXfZN8axSSBBKSJftWzIb7RP7UuTz9YnATrZ8IkMAivZs7RMVm/HNlrFh8swyZOKqhMWcwCdu&#10;5+eOYLqYDnLTZUyGZLzgSD0ybcVhoLGT11HjlkwgOpkxy4wCiFcYzHwIDo1gxq0/IGDY/9ZWS6Ca&#10;8CZ7ENEJYNCu4KefNesOujzS9mmVoFMPGzEdmZIS4QwDTIUGRkwMigzYRDakmHVgY4WVOsAHdkhm&#10;EQ4kFtWJhMrjsRIxm6cKTTpBxHQEgfjuN//GLAIG6tbGv6lWpCTffteziojZ+6QtTzddxussnd5k&#10;NgLvnYRN1olER7HCEeShTCRgrK5A2wfNsEokIpfSEYlQLRdrFjpocjDCi0WO5AA66X84Lt/FPul/&#10;H148RckIsgP4DfmmeCIRRswtCt/WsnhdPzqD+hFkezXU1aw2UjbIle49FagTcYURFCB5rPSiBlK2&#10;TOQD0egtrUznX0rC9LiZQhH7ukMKxUIA9zEO+THpYywHKf8zjwbHArtNesjZiR6KgBMicUPdloVw&#10;RdwBVOLIDm2LQWnEs7y9wjIdfPEMJ/sYpVk0kHDXApqtfrKICafAu4IhevPl168//8ygGoCioDxg&#10;9uDd7qetAK/yrJZ7C0eUrKBJo7gxUTwt4t01Z9y9f+JsySGngxyCMYmtkG3YFudaQC1y+OT5nteI&#10;eWEAv8VCnuUxQxbW0kJQg1hGhGhCn+CaHU0sbca8L4+XhnskYhe562ZogbHdXgB0r3BG24siyPGZ&#10;w6pMOAKp68jCmoOwdMMpOaJRYIBJfBCNEpgA3ig8yPa7StoWsuyk7o7HEwklsngeJ1J836R8QiVS&#10;2icLW5EKWrGAB689II4lab3+xT/f/f13b/7whUHNdQOCS9cD98tKPG7LNUCfbR5KMgWNfz7ltxdP&#10;fwZ9gesVtKNCax0EQI/aMeFqjLBk/Y9q755wG5p4gXLuWVRwAVy0/eGuxAs0zYQV+PN9qxGQLLsq&#10;e7kUq/q17kMKSIJ5kcyXq7ItQxBBBLixSoLtqimlMnvfPn/i60ipjivAO28kh4EdApKF9QGer1Bx&#10;SUl1XBPeLMssPfY6lUyns2NGJjpqz0ydrjhFNJLEDlXC3WZ/B8dOPXlO57NWKqk+KXsDe3IJR28R&#10;16R+B6nvdtA4MMb1BfrIh7i2LbuD3ICBvz3p0U65TqM7yMEC8B3oDgLUXAfpBKPRIw+YWxNYNqSd&#10;zCcGDsH8e+gTRRb/lvvEZgqvfWI81j6xyycKklWBe5xnPVTHpPaJwyYyyjl0XpO4gIGdcCJAQeYT&#10;QxtYObjC/fOJkNJV4YN8IuV4W1MWGiceelLh2ZLiXgcHAWMaJ0KT+aAu8iN0V0IuW5l5Z6MI5brc&#10;6ntmFaP7E/M/oa2Nw8UQEua6a+SMrp7/2e0aIMnpKL6cagYx9jhykr9bM1TeYBvNqKYZeCFvlFWC&#10;ptaMfc0tP8psPFgsodINKgDR6gkDc0uosYm+PouqplIlbBPpBuTbQiiKMj8i6j+d2OJM+TZPkCY8&#10;t4SBeiTk3zTfxl6ybi4QK35gjbNZ24axuvZs21xwZ/m2PczGOwaOEjzA2+5oqXIC20RLOcUgipop&#10;po6WdypaYlNPrV2CAtrAaBlg2w+D1r4VNqfTWvekOuVL0ppYBxio+zsdLTUT27k+FvYLNaMlzUpW&#10;OKt7Hy3vSnUKV2ar+0SeTg6sTiGjy3IEx6NKocwg7o1PlKQ194mctBb1Be0TtU/s9omC3ZPVKX/X&#10;ZqQ7m0HswSceIYPwJVHQmUHAcYmEejIIOYu9xsliKwARKbAMJl5FcZK8h8yyKVb2N1roaXm3Tcs7&#10;CvUGayfWAyctpjgwmQi9sNIJyw2bOmHiWgc01QAa4pm+CO6t80zJvVmtc4VGnaDZzRcMSndWDsfr&#10;NsVMY7dVMDtnMUIDJwAdZnswUbmRx3vYWoNiZtBHyKmjZ1svqCoW7ThVOcSXlDdzz3IZEjgilQhb&#10;4LZSIvpDTE16iF/F0GyT0mDptj3s80bVuaU7Tq840jdTCSV/8KkffoMVVJRG5QP3pzSRVa2/67f9&#10;Onh81an3OxytNSfVGkhkqxDfiQQp0b25Jt8XjaqoD+vWNKrzOhrti1Q+gmPBOdmcPulWEXWxnpuS&#10;heYS8HLGiW97IQMmStTRgGUvK8BLJHy0tSJx8nCNb6O+xcFpA873Z3DWaa181Yb+yhQZBc3IwHSu&#10;aQOmPzdal0rADbSuSn46HQAW4u7urxAIZo0yS4ns4Eg9HeDfNMzfapONvS8seIxoLIsZjdyQNipQ&#10;ClA3K4OG7w2XcCe14RYil2r3Gr5/wLvzwG5SNwOMJi/Z4TZuzfA0fD8QwDgBfA+b8B0GmE4MKpdH&#10;bMkAYqNtmpEhkzsH8j1OEPkWT/wE6995poTv7XMFuSSFRQuuHKVIgqtW1LIdGNhFXNV6AD7Q+LwJ&#10;uZrqDo/MKVivtfIZ9CdXPItcLV5KS1lUv7FefFNYx8AukqKk7oKgyUx2+B6luiirwnpl/MNsHne2&#10;87ywhEhWJrsLYIzry9D1ABSbuWllfJupp3AvrWLZ4ZeaofUAIsvFCS20Y0itw4AfOdddQ0KZudLc&#10;DRjYxTfi6jMUSkKzUdi8L74R94PiYYR8I+1Ht3U6p31j90S3/eGy8/WNgkJUfKNKG2LNb+tuVO0b&#10;q+12D7s/RCjzMu4beSI2EGbj8vfMN9pOcxnJe+MbJefFfSNv4N22K1XvqLQVH3oPF83FDVJauFHt&#10;btS+ccg6ATJpPFo1ETrZKmBEfpJa2wZWEyPfFH4yojZGlY7A5j3Wr+LTIv9KNfFWOqJ5rsgXpLCO&#10;SEfA9gUNcR2AjqjWy92BjhCnnp6OwJ1e6pBb0xHtHez1UlwdS3Eh59YMK7QHjZKw7QlyVxbjajoi&#10;K7JZ+WCy65JcUZOOgAFNR3TO5omadAQM1Mk2/q2n1UDTER8sHRF10BEwVteePflGsYmp9o3v6xub&#10;dARtojMYZn8AdARsmFvHjbSDrhL5tW/Uk2S7w2oHHUF7iijao30j7kTQNy1CZtWwRwi6p3m+ebY5&#10;0hZAkUwZO3vh4biMcz3dukpBO8D1xoi9dU2rUfUHL4OURGCzBF6wCq0qpJ4se/NkWaYkV3NQEZDh&#10;PI83i+XkSVzG6nemSuPEzhbZaprkj/4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hAAAFtDb250ZW50X1R5cGVzXS54bWxQSwECFAAKAAAAAACH&#10;TuJAAAAAAAAAAAAAAAAABgAAAAAAAAAAABAAAAA8DwAAX3JlbHMvUEsBAhQAFAAAAAgAh07iQIoU&#10;ZjzRAAAAlAEAAAsAAAAAAAAAAQAgAAAAYA8AAF9yZWxzLy5yZWxzUEsBAhQACgAAAAAAh07iQAAA&#10;AAAAAAAAAAAAAAQAAAAAAAAAAAAQAAAAAAAAAGRycy9QSwECFAAUAAAACACHTuJADEnSrtoAAAAK&#10;AQAADwAAAAAAAAABACAAAAAiAAAAZHJzL2Rvd25yZXYueG1sUEsBAhQAFAAAAAgAh07iQF577s/n&#10;DQAASJIAAA4AAAAAAAAAAQAgAAAAKQEAAGRycy9lMm9Eb2MueG1sUEsFBgAAAAAGAAYAWQEAAIIR&#10;AAAAAA==&#10;">
                <o:lock v:ext="edit" aspectratio="f"/>
                <v:shape id="_x0000_s1026" o:spid="_x0000_s1026" o:spt="32" type="#_x0000_t32" style="position:absolute;left:8997;top:860741;flip:x y;height:2;width:1982;" filled="f" stroked="t" coordsize="21600,21600" o:gfxdata="UEsFBgAAAAAAAAAAAAAAAAAAAAAAAFBLAwQKAAAAAACHTuJAAAAAAAAAAAAAAAAABAAAAGRycy9Q&#10;SwMEFAAAAAgAh07iQOJp8Cm9AAAA3AAAAA8AAABkcnMvZG93bnJldi54bWxFj0trwzAQhO+F/Aex&#10;gV5KIsUteThRcgh1ybV5nRdrY5lYK2Opsfvvq0Khx2FmvmE2u8E14kFdqD1rmE0VCOLSm5orDedT&#10;MVmCCBHZYOOZNHxTgN129LTB3PieP+lxjJVIEA45arAxtrmUobTkMEx9S5y8m+8cxiS7SpoO+wR3&#10;jcyUmkuHNacFiy3tLZX345fT8LG4De9YrEr3cni93qW9KNkXWj+PZ2oNItIQ/8N/7YPRkGVv8Hsm&#10;HQG5/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mnwKb0AAADc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shape>
                <v:shape id="_x0000_s1026" o:spid="_x0000_s1026" o:spt="32" type="#_x0000_t32" style="position:absolute;left:7819;top:855982;height:472;width:11;" filled="f" stroked="t" coordsize="21600,21600" o:gfxdata="UEsFBgAAAAAAAAAAAAAAAAAAAAAAAFBLAwQKAAAAAACHTuJAAAAAAAAAAAAAAAAABAAAAGRycy9Q&#10;SwMEFAAAAAgAh07iQGOXxBS1AAAA3AAAAA8AAABkcnMvZG93bnJldi54bWxFT8kKwjAQvQv+QxjB&#10;i2hqEZFqFCpUvLrgeWjGttpMShK3vzcHwePj7avN27TiSc43lhVMJwkI4tLqhisF51MxXoDwAVlj&#10;a5kUfMjDZt3vrTDT9sUHeh5DJWII+wwV1CF0mZS+rMmgn9iOOHJX6wyGCF0ltcNXDDetTJNkLg02&#10;HBtq7GhbU3k/PoyCkTX5zRf3Xf6YlYXL55c9ValSw8E0WYII9A5/8c+91wrSWZwfz8QjINdf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GOXxBS1AAAA3AAAAA8AAAAAAAAAAQAgAAAAOAAAAGRycy9kb3ducmV2LnhtbFBLAQIU&#10;ABQAAAAIAIdO4kAzLwWeOwAAADkAAAAQAAAAAAAAAAEAIAAAABoBAABkcnMvc2hhcGV4bWwueG1s&#10;UEsFBgAAAAAGAAYAWwEAAMQDAAAAAA==&#10;">
                  <v:fill on="f" focussize="0,0"/>
                  <v:stroke weight="1pt" color="#000000" joinstyle="round" endarrow="block"/>
                  <v:imagedata o:title=""/>
                  <o:lock v:ext="edit" aspectratio="f"/>
                </v:shape>
                <v:shape id="_x0000_s1026" o:spid="_x0000_s1026" o:spt="32" type="#_x0000_t32" style="position:absolute;left:7830;top:856882;height:475;width:5;" filled="f" stroked="t" coordsize="21600,21600" o:gfxdata="UEsFBgAAAAAAAAAAAAAAAAAAAAAAAFBLAwQKAAAAAACHTuJAAAAAAAAAAAAAAAAABAAAAGRycy9Q&#10;SwMEFAAAAAgAh07iQAzbYY+6AAAA3AAAAA8AAABkcnMvZG93bnJldi54bWxFj82qwjAUhPeC7xCO&#10;4EY0bRGRahQq9OJW78X1oTm21eakJPHnvr0RBJfDzHzDrLdP04k7Od9aVpDOEhDEldUt1wr+fsvp&#10;EoQPyBo7y6TgnzxsN8PBGnNtH3yg+zHUIkLY56igCaHPpfRVQwb9zPbE0TtbZzBE6WqpHT4i3HQy&#10;S5KFNNhyXGiwp11D1fV4Mwom1hQXX15/itu8Kl2xOO2pzpQaj9JkBSLQM3zDn/ZeK8jmKbzPxCMg&#10;Ny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DNthj7oAAADcAAAADwAAAAAAAAABACAAAAA4AAAAZHJzL2Rvd25yZXYueG1s&#10;UEsBAhQAFAAAAAgAh07iQDMvBZ47AAAAOQAAABAAAAAAAAAAAQAgAAAAHwEAAGRycy9zaGFwZXht&#10;bC54bWxQSwUGAAAAAAYABgBbAQAAyQMAAAAA&#10;">
                  <v:fill on="f" focussize="0,0"/>
                  <v:stroke weight="1pt" color="#000000" joinstyle="round" endarrow="block"/>
                  <v:imagedata o:title=""/>
                  <o:lock v:ext="edit" aspectratio="f"/>
                </v:shape>
                <v:shape id="_x0000_s1026" o:spid="_x0000_s1026" o:spt="32" type="#_x0000_t32" style="position:absolute;left:7805;top:855106;flip:x;height:321;width:5;" filled="f" stroked="t" coordsize="21600,21600" o:gfxdata="UEsFBgAAAAAAAAAAAAAAAAAAAAAAAFBLAwQKAAAAAACHTuJAAAAAAAAAAAAAAAAABAAAAGRycy9Q&#10;SwMEFAAAAAgAh07iQApjA7fAAAAA3AAAAA8AAABkcnMvZG93bnJldi54bWxFj0FrAjEUhO8F/0N4&#10;gpelJkqpZTV6EERLoaC1BW+PzXOzuHlZN+mu/vumUOhxmJlvmMXq5mrRURsqzxomYwWCuPCm4lLD&#10;8WPz+AIiRGSDtWfScKcAq+XgYYG58T3vqTvEUiQIhxw12BibXMpQWHIYxr4hTt7Ztw5jkm0pTYt9&#10;grtaTpV6lg4rTgsWG1pbKi6Hb6dBnT6vb9uq62x232bX9+x13381Wo+GEzUHEekW/8N/7Z3RMH2a&#10;we+ZdATk8g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CmMDt8AAAADcAAAADwAAAAAAAAABACAAAAA4AAAAZHJzL2Rvd25y&#10;ZXYueG1sUEsBAhQAFAAAAAgAh07iQDMvBZ47AAAAOQAAABAAAAAAAAAAAQAgAAAAJQEAAGRycy9z&#10;aGFwZXhtbC54bWxQSwUGAAAAAAYABgBbAQAAzwMAAAAA&#10;">
                  <v:fill on="f" focussize="0,0"/>
                  <v:stroke weight="1pt" color="#000000" joinstyle="round" endarrow="block"/>
                  <v:imagedata o:title=""/>
                  <o:lock v:ext="edit" aspectratio="f"/>
                </v:shape>
                <v:group id="_x0000_s1026" o:spid="_x0000_s1026" o:spt="203" style="position:absolute;left:6576;top:855436;height:537;width:2482;" coordorigin="6699,855548" coordsize="2482,537" o:gfxdata="UEsFBgAAAAAAAAAAAAAAAAAAAAAAAFBLAwQKAAAAAACHTuJAAAAAAAAAAAAAAAAABAAAAGRycy9Q&#10;SwMEFAAAAAgAh07iQCwV+DC9AAAA2wAAAA8AAABkcnMvZG93bnJldi54bWxFj0+LwjAUxO8Lfofw&#10;BG9rWsVFqqmIqOxBFlYF8fZoXv9g81Ka2Oq33ywIHoeZ+Q2zXD1MLTpqXWVZQTyOQBBnVldcKDif&#10;dp9zEM4ja6wtk4InOVilg48lJtr2/Evd0RciQNglqKD0vkmkdFlJBt3YNsTBy21r0AfZFlK32Ae4&#10;qeUkir6kwYrDQokNbUrKbse7UbDvsV9P4213uOWb5/U0+7kcYlJqNIyjBQhPD/8Ov9rfWsFkB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CwV+DC9AAAA2wAAAA8AAAAAAAAAAQAg&#10;AAAAOAAAAGRycy9kb3ducmV2LnhtbFBLAQIUABQAAAAIAIdO4kAzLwWeOwAAADkAAAAVAAAAAAAA&#10;AAEAIAAAACIBAABkcnMvZ3JvdXBzaGFwZXhtbC54bWxQSwUGAAAAAAYABgBgAQAA3wMAAAAA&#10;">
                  <o:lock v:ext="edit" aspectratio="f"/>
                  <v:rect id="_x0000_s1026" o:spid="_x0000_s1026" o:spt="1" style="position:absolute;left:6699;top:855548;height:537;width:2482;v-text-anchor:middle;" filled="f" stroked="t" coordsize="21600,21600" o:gfxdata="UEsFBgAAAAAAAAAAAAAAAAAAAAAAAFBLAwQKAAAAAACHTuJAAAAAAAAAAAAAAAAABAAAAGRycy9Q&#10;SwMEFAAAAAgAh07iQAWxNZO9AAAA3AAAAA8AAABkcnMvZG93bnJldi54bWxFj0GLwjAUhO+C/yE8&#10;wZum7UG0mpZVFHTxsuoPeNs82+42L6WJWv/9RhD2OMzMN8wq700j7tS52rKCeBqBIC6srrlUcDnv&#10;JnMQziNrbCyTgic5yLPhYIWptg/+ovvJlyJA2KWooPK+TaV0RUUG3dS2xMG72s6gD7Irpe7wEeCm&#10;kUkUzaTBmsNChS1tKip+TzejQK63x9vn92HhPrZ9vfi5xn3hd0qNR3G0BOGp9//hd3uvFSTJDF5n&#10;whGQ2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bE1k70AAADc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rect>
                  <v:shape id="_x0000_s1026" o:spid="_x0000_s1026" o:spt="202" type="#_x0000_t202" style="position:absolute;left:6709;top:855576;height:506;width:2443;" filled="f" stroked="f" coordsize="21600,21600" o:gfxdata="UEsFBgAAAAAAAAAAAAAAAAAAAAAAAFBLAwQKAAAAAACHTuJAAAAAAAAAAAAAAAAABAAAAGRycy9Q&#10;SwMEFAAAAAgAh07iQPZkYUm8AAAA3AAAAA8AAABkcnMvZG93bnJldi54bWxFj0FrwkAUhO8F/8Py&#10;BG/NrhFCjK4iQqG3og14fWSf2WD2bchuNe2vdwuFHoeZ+YbZ7ifXizuNofOsYZkpEMSNNx23GurP&#10;t9cSRIjIBnvPpOGbAux3s5ctVsY/+ET3c2xFgnCoUIONcaikDI0lhyHzA3Hyrn50GJMcW2lGfCS4&#10;62WuVCEddpwWLA50tNTczl9Ow+WgVsWHPK5CnYep/GlPdTlZrRfzpdqAiDTF//Bf+91oyIs1/J5J&#10;R0Dun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2ZGFJvAAAANwAAAAPAAAAAAAAAAEAIAAAADgAAABkcnMvZG93bnJldi54&#10;bWxQSwECFAAUAAAACACHTuJAMy8FnjsAAAA5AAAAEAAAAAAAAAABACAAAAAhAQAAZHJzL3NoYXBl&#10;eG1sLnhtbFBLBQYAAAAABgAGAFsBAADLAwAAAAA=&#10;">
                    <v:fill on="f" focussize="0,0"/>
                    <v:stroke on="f"/>
                    <v:imagedata o:title=""/>
                    <o:lock v:ext="edit" aspectratio="f"/>
                    <v:textbox inset="0mm,2mm,0mm,1.27mm">
                      <w:txbxContent>
                        <w:p>
                          <w:pPr>
                            <w:pStyle w:val="6"/>
                            <w:jc w:val="center"/>
                            <w:rPr>
                              <w:rFonts w:ascii="方正仿宋_GBK" w:eastAsia="方正仿宋_GBK"/>
                              <w:sz w:val="22"/>
                            </w:rPr>
                          </w:pPr>
                          <w:r>
                            <w:rPr>
                              <w:rFonts w:hint="eastAsia" w:ascii="方正仿宋_GBK" w:eastAsia="方正仿宋_GBK"/>
                              <w:color w:val="000000"/>
                              <w:kern w:val="24"/>
                              <w:sz w:val="22"/>
                            </w:rPr>
                            <w:t>市交通综合执法局应急指挥中心</w:t>
                          </w:r>
                        </w:p>
                      </w:txbxContent>
                    </v:textbox>
                  </v:shape>
                </v:group>
                <v:group id="_x0000_s1026" o:spid="_x0000_s1026" o:spt="203" style="position:absolute;left:6740;top:860471;height:535;width:2255;" coordorigin="6690,860561" coordsize="2255,535" o:gfxdata="UEsFBgAAAAAAAAAAAAAAAAAAAAAAAFBLAwQKAAAAAACHTuJAAAAAAAAAAAAAAAAABAAAAGRycy9Q&#10;SwMEFAAAAAgAh07iQBFvIH+9AAAA2wAAAA8AAABkcnMvZG93bnJldi54bWxFj0GLwjAUhO+C/yE8&#10;wduaVncXqUYRUdmDLGwVxNujebbF5qU0sdV/b4QFj8PMfMPMl3dTiZYaV1pWEI8iEMSZ1SXnCo6H&#10;7ccUhPPIGivLpOBBDpaLfm+OibYd/1Gb+lwECLsEFRTe14mULivIoBvZmjh4F9sY9EE2udQNdgFu&#10;KjmOom9psOSwUGBN64Kya3ozCnYddqtJvGn318v6cT58/Z72MSk1HMTRDISnu3+H/9s/WsHnBF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BFvIH+9AAAA2wAAAA8AAAAAAAAAAQAg&#10;AAAAOAAAAGRycy9kb3ducmV2LnhtbFBLAQIUABQAAAAIAIdO4kAzLwWeOwAAADkAAAAVAAAAAAAA&#10;AAEAIAAAACIBAABkcnMvZ3JvdXBzaGFwZXhtbC54bWxQSwUGAAAAAAYABgBgAQAA3wMAAAAA&#10;">
                  <o:lock v:ext="edit" aspectratio="f"/>
                  <v:rect id="_x0000_s1026" o:spid="_x0000_s1026" o:spt="1" style="position:absolute;left:6709;top:860561;height:522;width:2236;v-text-anchor:middle;" filled="f" stroked="t" coordsize="21600,21600" o:gfxdata="UEsFBgAAAAAAAAAAAAAAAAAAAAAAAFBLAwQKAAAAAACHTuJAAAAAAAAAAAAAAAAABAAAAGRycy9Q&#10;SwMEFAAAAAgAh07iQP9TpU29AAAA3AAAAA8AAABkcnMvZG93bnJldi54bWxFj92KwjAUhO8F3yEc&#10;wTtNW2HRahQVBXfxxp8HODbHttqclCZqffvNwoKXw8x8w8wWranEkxpXWlYQDyMQxJnVJecKzqft&#10;YAzCeWSNlWVS8CYHi3m3M8NU2xcf6Hn0uQgQdikqKLyvUyldVpBBN7Q1cfCutjHog2xyqRt8Bbip&#10;ZBJFX9JgyWGhwJrWBWX348MokKvN/vFz+Z645aYtJ7dr3GZ+q1S/F0dTEJ5a/wn/t3daQTJK4O9M&#10;OAJy/g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OlTb0AAADc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rect>
                  <v:shape id="_x0000_s1026" o:spid="_x0000_s1026" o:spt="202" type="#_x0000_t202" style="position:absolute;left:6690;top:860601;height:495;width:2219;" filled="f" stroked="f" coordsize="21600,21600" o:gfxdata="UEsFBgAAAAAAAAAAAAAAAAAAAAAAAFBLAwQKAAAAAACHTuJAAAAAAAAAAAAAAAAABAAAAGRycy9Q&#10;SwMEFAAAAAgAh07iQMZhr/e+AAAA3AAAAA8AAABkcnMvZG93bnJldi54bWxFj09rwkAUxO+C32F5&#10;Qm+6G2m1jW5yUISeWvxX6O2RfSbB7NuQXU367buFgsdhZn7DrPPBNuJOna8da0hmCgRx4UzNpYbT&#10;cTd9BeEDssHGMWn4IQ95Nh6tMTWu5z3dD6EUEcI+RQ1VCG0qpS8qsuhnriWO3sV1FkOUXSlNh32E&#10;20bOlVpIizXHhQpb2lRUXA83q+H8cfn+elaf5da+tL0blGT7JrV+miRqBSLQEB7h//a70TBfJvB3&#10;Jh4Bmf0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Zhr/e+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启动部门应急预案</w:t>
                          </w:r>
                        </w:p>
                      </w:txbxContent>
                    </v:textbox>
                  </v:shape>
                </v:group>
                <v:line id="_x0000_s1026" o:spid="_x0000_s1026" o:spt="20" style="position:absolute;left:10973;top:860006;flip:x y;height:748;width:6;" filled="f" stroked="t" coordsize="21600,21600" o:gfxdata="UEsFBgAAAAAAAAAAAAAAAAAAAAAAAFBLAwQKAAAAAACHTuJAAAAAAAAAAAAAAAAABAAAAGRycy9Q&#10;SwMEFAAAAAgAh07iQKv+kqm8AAAA3AAAAA8AAABkcnMvZG93bnJldi54bWxFT01rg0AQvQf6H5Yp&#10;9JasBiLBuEpbCK2ll5gQyG1wJypxZ8XdGttf3z0Ueny876yYTS8mGl1nWUG8ikAQ11Z33Cg4HffL&#10;LQjnkTX2lknBNzko8odFhqm2dz7QVPlGhBB2KSpovR9SKV3dkkG3sgNx4K52NOgDHBupR7yHcNPL&#10;dRQl0mDHoaHFgV5bqm/Vl1FwSezzxye//ZTnwe+bcnOZXrhU6ukxjnYgPM3+X/znftcK1pswP5wJ&#10;R0Dm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r/pKp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group id="_x0000_s1026" o:spid="_x0000_s1026" o:spt="203" style="position:absolute;left:6755;top:859205;height:786;width:2186;" coordorigin="6337,859224" coordsize="2186,786" o:gfxdata="UEsFBgAAAAAAAAAAAAAAAAAAAAAAAFBLAwQKAAAAAACHTuJAAAAAAAAAAAAAAAAABAAAAGRycy9Q&#10;SwMEFAAAAAgAh07iQKnMbu29AAAA2wAAAA8AAABkcnMvZG93bnJldi54bWxFj0+LwjAUxO8Lfofw&#10;BG9rWsVFqqmIqOxBFlYF8fZoXv9g81Ka2Oq33ywIHoeZ+Q2zXD1MLTpqXWVZQTyOQBBnVldcKDif&#10;dp9zEM4ja6wtk4InOVilg48lJtr2/Evd0RciQNglqKD0vkmkdFlJBt3YNsTBy21r0AfZFlK32Ae4&#10;qeUkir6kwYrDQokNbUrKbse7UbDvsV9P4213uOWb5/U0+7kcYlJqNIyjBQhPD/8Ov9rfWsF0B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KnMbu29AAAA2wAAAA8AAAAAAAAAAQAg&#10;AAAAOAAAAGRycy9kb3ducmV2LnhtbFBLAQIUABQAAAAIAIdO4kAzLwWeOwAAADkAAAAVAAAAAAAA&#10;AAEAIAAAACIBAABkcnMvZ3JvdXBzaGFwZXhtbC54bWxQSwUGAAAAAAYABgBgAQAA3wMAAAAA&#10;">
                  <o:lock v:ext="edit" aspectratio="f"/>
                  <v:shape id="_x0000_s1026" o:spid="_x0000_s1026" o:spt="4" type="#_x0000_t4" style="position:absolute;left:6337;top:859224;height:786;width:2186;v-text-anchor:middle;" filled="f" stroked="t" coordsize="21600,21600" o:gfxdata="UEsFBgAAAAAAAAAAAAAAAAAAAAAAAFBLAwQKAAAAAACHTuJAAAAAAAAAAAAAAAAABAAAAGRycy9Q&#10;SwMEFAAAAAgAh07iQPbCmUG7AAAA3AAAAA8AAABkcnMvZG93bnJldi54bWxFT89rwjAUvgv7H8IT&#10;dtOkHcjojD0oA4UhTMfY8dE829LmpSTRdv71y0HY8eP7vS4n24sb+dA61pAtFQjiypmWaw1f5/fF&#10;K4gQkQ32jknDLwUoN0+zNRbGjfxJt1OsRQrhUKCGJsahkDJUDVkMSzcQJ+7ivMWYoK+l8TimcNvL&#10;XKmVtNhyamhwoG1DVXe6Wg3VuBvv5A+q7sL0kWffP2d53Gv9PM/UG4hIU/wXP9x7oyF/SfPTmXQE&#10;5OY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bCmUG7AAAA3AAAAA8AAAAAAAAAAQAgAAAAOAAAAGRycy9kb3ducmV2Lnht&#10;bFBLAQIUABQAAAAIAIdO4kAzLwWeOwAAADkAAAAQAAAAAAAAAAEAIAAAACABAABkcnMvc2hhcGV4&#10;bWwueG1sUEsFBgAAAAAGAAYAWwEAAMoDAAAAAA==&#10;">
                    <v:fill on="f" focussize="0,0"/>
                    <v:stroke weight="1pt" color="#000000" joinstyle="round" endarrow="block"/>
                    <v:imagedata o:title=""/>
                    <o:lock v:ext="edit" aspectratio="f"/>
                  </v:shape>
                  <v:shape id="_x0000_s1026" o:spid="_x0000_s1026" o:spt="202" type="#_x0000_t202" style="position:absolute;left:6689;top:859425;height:495;width:1497;" filled="f" stroked="f" coordsize="21600,21600" o:gfxdata="UEsFBgAAAAAAAAAAAAAAAAAAAAAAAFBLAwQKAAAAAACHTuJAAAAAAAAAAAAAAAAABAAAAGRycy9Q&#10;SwMEFAAAAAgAh07iQFn/lBu+AAAA3AAAAA8AAABkcnMvZG93bnJldi54bWxFj0FrwkAUhO8F/8Py&#10;hN50N1ZrjVk9tBQ8KbW14O2RfSbB7NuQ3Zr4711B6HGYmW+YbN3bWlyo9ZVjDclYgSDOnam40PDz&#10;/Tl6A+EDssHaMWm4kof1avCUYWpcx1902YdCRAj7FDWUITSplD4vyaIfu4Y4eifXWgxRtoU0LXYR&#10;bms5UepVWqw4LpTY0HtJ+Xn/ZzUctqfj71Ttig87azrXK8l2IbV+HiZqCSJQH/7Dj/bGaJjMX+B+&#10;Jh4Bubo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n/lBu+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Ⅲ级及以上</w:t>
                          </w:r>
                        </w:p>
                      </w:txbxContent>
                    </v:textbox>
                  </v:shape>
                </v:group>
                <v:shape id="_x0000_s1026" o:spid="_x0000_s1026" o:spt="32" type="#_x0000_t32" style="position:absolute;left:7862;top:860990;height:896;width:5;" filled="f" stroked="t" coordsize="21600,21600" o:gfxdata="UEsFBgAAAAAAAAAAAAAAAAAAAAAAAFBLAwQKAAAAAACHTuJAAAAAAAAAAAAAAAAABAAAAGRycy9Q&#10;SwMEFAAAAAgAh07iQBaczL68AAAA3AAAAA8AAABkcnMvZG93bnJldi54bWxFj0+LwjAUxO/Cfofw&#10;FryIpla3SDUKXah4XZU9P5pn27V5KUn89+2NsOBxmJnfMKvN3XTiSs63lhVMJwkI4srqlmsFx0M5&#10;XoDwAVljZ5kUPMjDZv0xWGGu7Y1/6LoPtYgQ9jkqaELocyl91ZBBP7E9cfRO1hkMUbpaaoe3CDed&#10;TJMkkwZbjgsN9vTdUHXeX4yCkTXFny/P2+Iyr0pXZL87qlOlhp/TZAki0D28w//tnVaQfs3gdSYe&#10;Abl+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WnMy+vAAAANwAAAAPAAAAAAAAAAEAIAAAADgAAABkcnMvZG93bnJldi54&#10;bWxQSwECFAAUAAAACACHTuJAMy8FnjsAAAA5AAAAEAAAAAAAAAABACAAAAAhAQAAZHJzL3NoYXBl&#10;eG1sLnhtbFBLBQYAAAAABgAGAFsBAADLAwAAAAA=&#10;">
                  <v:fill on="f" focussize="0,0"/>
                  <v:stroke weight="1pt" color="#000000" joinstyle="round" endarrow="block"/>
                  <v:imagedata o:title=""/>
                  <o:lock v:ext="edit" aspectratio="f"/>
                </v:shape>
                <v:shape id="_x0000_s1026" o:spid="_x0000_s1026" o:spt="32" type="#_x0000_t32" style="position:absolute;left:8941;top:859591;flip:y;height:16;width:1026;" filled="f" stroked="t" coordsize="21600,21600" o:gfxdata="UEsFBgAAAAAAAAAAAAAAAAAAAAAAAFBLAwQKAAAAAACHTuJAAAAAAAAAAAAAAAAABAAAAGRycy9Q&#10;SwMEFAAAAAgAh07iQP4lARi9AAAA3AAAAA8AAABkcnMvZG93bnJldi54bWxFT8tqAjEU3Rf8h3CF&#10;bgZNFCxlNLoQxJZCwUcFd5fJdTI4uRkn6Yz+vVkUujyc92J1d7XoqA2VZw2TsQJBXHhTcanheNiM&#10;3kGEiGyw9kwaHhRgtRy8LDA3vucddftYihTCIUcNNsYmlzIUlhyGsW+IE3fxrcOYYFtK02Kfwl0t&#10;p0q9SYcVpwaLDa0tFdf9r9Ogzj+3r23VdTZ7bLPbd/a560+N1q/DiZqDiHSP/+I/94fRMJ2ltelM&#10;OgJy+QR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UBGL0AAADc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shape>
                <v:shape id="_x0000_s1026" o:spid="_x0000_s1026" o:spt="202" type="#_x0000_t202" style="position:absolute;left:9425;top:860334;height:495;width:1305;" filled="f" stroked="f" coordsize="21600,21600" o:gfxdata="UEsFBgAAAAAAAAAAAAAAAAAAAAAAAFBLAwQKAAAAAACHTuJAAAAAAAAAAAAAAAAABAAAAGRycy9Q&#10;SwMEFAAAAAgAh07iQHxdR6S+AAAA3AAAAA8AAABkcnMvZG93bnJldi54bWxFj0FrwkAUhO9C/8Py&#10;Ct50N2JDTF1zaCl4sjTagrdH9pmEZt+G7Nak/75bEDwOM/MNsy0m24krDb51rCFZKhDElTMt1xpO&#10;x7dFBsIHZIOdY9LwSx6K3cNsi7lxI3/QtQy1iBD2OWpoQuhzKX3VkEW/dD1x9C5usBiiHGppBhwj&#10;3HZypVQqLbYcFxrs6aWh6rv8sRo+D5fz11q916/2qR/dpCTbjdR6/pioZxCBpnAP39p7o2GVpfB/&#10;Jh4Bufs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xdR6S+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同步启动</w:t>
                        </w:r>
                      </w:p>
                    </w:txbxContent>
                  </v:textbox>
                </v:shape>
                <v:group id="_x0000_s1026" o:spid="_x0000_s1026" o:spt="203" style="position:absolute;left:6971;top:864722;height:1213;width:1775;" coordorigin="10336,856497" coordsize="1200,1213" o:gfxdata="UEsFBgAAAAAAAAAAAAAAAAAAAAAAAFBLAwQKAAAAAACHTuJAAAAAAAAAAAAAAAAABAAAAGRycy9Q&#10;SwMEFAAAAAgAh07iQEfNwXO6AAAA2wAAAA8AAABkcnMvZG93bnJldi54bWxFT02LwjAQvS/4H8II&#10;3ta0istSTUVExYMIqwvibWjGtrSZlCa2+u/NQfD4eN+L5cPUoqPWlZYVxOMIBHFmdcm5gv/z9vsX&#10;hPPIGmvLpOBJDpbp4GuBibY9/1F38rkIIewSVFB43yRSuqwgg25sG+LA3Wxr0AfY5lK32IdwU8tJ&#10;FP1IgyWHhgIbWheUVae7UbDrsV9N4013qG7r5/U8O14OMSk1GsbRHISnh/+I3+69VjANY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EfNwXO6AAAA2wAAAA8AAAAAAAAAAQAgAAAA&#10;OAAAAGRycy9kb3ducmV2LnhtbFBLAQIUABQAAAAIAIdO4kAzLwWeOwAAADkAAAAVAAAAAAAAAAEA&#10;IAAAAB8BAABkcnMvZ3JvdXBzaGFwZXhtbC54bWxQSwUGAAAAAAYABgBgAQAA3AMAAAAA&#10;">
                  <o:lock v:ext="edit" aspectratio="f"/>
                  <v:shape id="_x0000_s1026" o:spid="_x0000_s1026" o:spt="3" type="#_x0000_t3" style="position:absolute;left:10336;top:856497;height:1142;width:1200;v-text-anchor:middle;" filled="f" stroked="t" coordsize="21600,21600" o:gfxdata="UEsFBgAAAAAAAAAAAAAAAAAAAAAAAFBLAwQKAAAAAACHTuJAAAAAAAAAAAAAAAAABAAAAGRycy9Q&#10;SwMEFAAAAAgAh07iQHsYhBK/AAAA3AAAAA8AAABkcnMvZG93bnJldi54bWxFj91uwjAMRu+ReIfI&#10;k3YHaSttgo6AJrZJu9lQgQewEq+taJzSZPzs6ecLJC6tz9+xz2J18Z060RDbwAbyaQaK2AbXcm1g&#10;v/uYzEDFhOywC0wGrhRhtRyPFli6cOaKTttUK4FwLNFAk1Jfah1tQx7jNPTEkv2EwWOScai1G/As&#10;cN/pIsuetceW5UKDPa0bsoftrxfKxoZX+3V0T3+Ht35eFev8+/1qzONDnr2ASnRJ9+Vb+9MZKAp5&#10;X2REBPTyH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7GIQSvwAAANwAAAAPAAAAAAAAAAEAIAAAADgAAABkcnMvZG93bnJl&#10;di54bWxQSwECFAAUAAAACACHTuJAMy8FnjsAAAA5AAAAEAAAAAAAAAABACAAAAAkAQAAZHJzL3No&#10;YXBleG1sLnhtbFBLBQYAAAAABgAGAFsBAADOAwAAAAA=&#10;">
                    <v:fill on="f" focussize="0,0"/>
                    <v:stroke weight="1pt" color="#000000" joinstyle="round" endarrow="block"/>
                    <v:imagedata o:title=""/>
                    <o:lock v:ext="edit" aspectratio="f"/>
                  </v:shape>
                  <v:shape id="_x0000_s1026" o:spid="_x0000_s1026" o:spt="202" type="#_x0000_t202" style="position:absolute;left:10562;top:856551;height:1159;width:878;" filled="f" stroked="f" coordsize="21600,21600" o:gfxdata="UEsFBgAAAAAAAAAAAAAAAAAAAAAAAFBLAwQKAAAAAACHTuJAAAAAAAAAAAAAAAAABAAAAGRycy9Q&#10;SwMEFAAAAAgAh07iQGwq5Dy+AAAA3AAAAA8AAABkcnMvZG93bnJldi54bWxFj0FrwkAUhO+C/2F5&#10;Qm+6a6pFU9ccWoSeLMa24O2RfSah2bchuybpv+8WCh6HmfmG2WWjbURPna8da1guFAjiwpmaSw0f&#10;58N8A8IHZIONY9LwQx6y/XSyw9S4gU/U56EUEcI+RQ1VCG0qpS8qsugXriWO3tV1FkOUXSlNh0OE&#10;20YmSj1JizXHhQpbeqmo+M5vVsPn8Xr5Wqn38tWu28GNSrLdSq0fZkv1DCLQGO7h//ab0ZBsHuHv&#10;TDwCcv8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wq5Dy+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pStyle w:val="6"/>
                            <w:adjustRightInd w:val="0"/>
                            <w:snapToGrid w:val="0"/>
                            <w:spacing w:before="0" w:beforeAutospacing="0" w:after="0" w:afterAutospacing="0" w:line="200" w:lineRule="atLeast"/>
                            <w:ind w:firstLine="220" w:firstLineChars="100"/>
                            <w:rPr>
                              <w:rFonts w:hint="eastAsia" w:ascii="方正仿宋_GBK" w:eastAsia="方正仿宋_GBK"/>
                              <w:color w:val="000000"/>
                              <w:kern w:val="24"/>
                              <w:sz w:val="22"/>
                            </w:rPr>
                          </w:pPr>
                          <w:r>
                            <w:rPr>
                              <w:rFonts w:hint="eastAsia" w:ascii="方正仿宋_GBK" w:eastAsia="方正仿宋_GBK"/>
                              <w:color w:val="000000"/>
                              <w:kern w:val="24"/>
                              <w:sz w:val="22"/>
                            </w:rPr>
                            <w:t>应急结束</w:t>
                          </w:r>
                        </w:p>
                        <w:p>
                          <w:pPr>
                            <w:pStyle w:val="6"/>
                            <w:adjustRightInd w:val="0"/>
                            <w:snapToGrid w:val="0"/>
                            <w:spacing w:before="0" w:beforeAutospacing="0" w:after="0" w:afterAutospacing="0" w:line="200" w:lineRule="atLeast"/>
                            <w:ind w:firstLine="220" w:firstLineChars="100"/>
                            <w:rPr>
                              <w:rFonts w:hint="eastAsia" w:ascii="方正仿宋_GBK" w:eastAsia="方正仿宋_GBK"/>
                              <w:color w:val="000000"/>
                              <w:kern w:val="24"/>
                              <w:sz w:val="22"/>
                            </w:rPr>
                          </w:pPr>
                          <w:r>
                            <w:rPr>
                              <w:rFonts w:hint="eastAsia" w:ascii="方正仿宋_GBK" w:eastAsia="方正仿宋_GBK"/>
                              <w:color w:val="000000"/>
                              <w:kern w:val="24"/>
                              <w:sz w:val="22"/>
                            </w:rPr>
                            <w:t>总结评估</w:t>
                          </w:r>
                        </w:p>
                        <w:p>
                          <w:pPr>
                            <w:pStyle w:val="6"/>
                            <w:adjustRightInd w:val="0"/>
                            <w:snapToGrid w:val="0"/>
                            <w:spacing w:before="0" w:beforeAutospacing="0" w:after="0" w:afterAutospacing="0" w:line="200" w:lineRule="atLeast"/>
                            <w:ind w:firstLine="220" w:firstLineChars="100"/>
                            <w:rPr>
                              <w:rFonts w:ascii="方正仿宋_GBK" w:eastAsia="方正仿宋_GBK"/>
                              <w:color w:val="000000"/>
                              <w:kern w:val="24"/>
                              <w:sz w:val="22"/>
                            </w:rPr>
                          </w:pPr>
                          <w:r>
                            <w:rPr>
                              <w:rFonts w:hint="eastAsia" w:ascii="方正仿宋_GBK" w:eastAsia="方正仿宋_GBK"/>
                              <w:color w:val="000000"/>
                              <w:kern w:val="24"/>
                              <w:sz w:val="22"/>
                            </w:rPr>
                            <w:t>信息上报</w:t>
                          </w:r>
                        </w:p>
                      </w:txbxContent>
                    </v:textbox>
                  </v:shape>
                </v:group>
                <v:shape id="_x0000_s1026" o:spid="_x0000_s1026" o:spt="202" type="#_x0000_t202" style="position:absolute;left:7810;top:859955;height:495;width:959;" filled="f" stroked="f" coordsize="21600,21600" o:gfxdata="UEsFBgAAAAAAAAAAAAAAAAAAAAAAAFBLAwQKAAAAAACHTuJAAAAAAAAAAAAAAAAABAAAAGRycy9Q&#10;SwMEFAAAAAgAh07iQGKOdk25AAAA3AAAAA8AAABkcnMvZG93bnJldi54bWxFT8uKwjAU3QvzD+EO&#10;uNNEGUU7jS5mEGal+AR3l+b2wTQ3pYm2/r1ZCC4P552ue1uLO7W+cqxhMlYgiDNnKi40nI6b0QKE&#10;D8gGa8ek4UEe1quPQYqJcR3v6X4IhYgh7BPUUIbQJFL6rCSLfuwa4sjlrrUYImwLaVrsYrit5VSp&#10;ubRYcWwosaGfkrL/w81qOG/z6+VL7YpfO2s61yvJdim1Hn5O1DeIQH14i1/uP6Nhuohr45l4BOTq&#10;C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ijnZNuQAAANw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6"/>
                          <w:rPr>
                            <w:rFonts w:ascii="方正仿宋_GBK" w:eastAsia="方正仿宋_GBK"/>
                          </w:rPr>
                        </w:pPr>
                        <w:r>
                          <w:rPr>
                            <w:rFonts w:hint="eastAsia" w:ascii="方正仿宋_GBK" w:hAnsi="宋体" w:eastAsia="方正仿宋_GBK" w:cs="宋体"/>
                            <w:color w:val="000000"/>
                            <w:kern w:val="24"/>
                          </w:rPr>
                          <w:t>Ⅳ级</w:t>
                        </w:r>
                      </w:p>
                    </w:txbxContent>
                  </v:textbox>
                </v:shape>
                <v:group id="_x0000_s1026" o:spid="_x0000_s1026" o:spt="203" style="position:absolute;left:7016;top:853758;height:1350;width:1561;" coordorigin="10557,866096" coordsize="1561,1350" o:gfxdata="UEsFBgAAAAAAAAAAAAAAAAAAAAAAAFBLAwQKAAAAAACHTuJAAAAAAAAAAAAAAAAABAAAAGRycy9Q&#10;SwMEFAAAAAgAh07iQENZXau/AAAA2wAAAA8AAABkcnMvZG93bnJldi54bWxFj81qwzAQhO+BvoPY&#10;Qm+JbOeH4kYxJTQlB1OIUyi9LdbGNrFWxlLt+O2rQiHHYWa+YbbZzbRioN41lhXEiwgEcWl1w5WC&#10;z/Nh/gzCeWSNrWVSMJGDbPcw22Kq7cgnGgpfiQBhl6KC2vsuldKVNRl0C9sRB+9ie4M+yL6Suscx&#10;wE0rkyjaSIMNh4UaO9rXVF6LH6PgfcTxdRm/Dfn1sp++z+uPrzwmpZ4e4+gFhKebv4f/20etIFnB&#10;35fwA+Tu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Q1ldq78AAADbAAAADwAAAAAAAAAB&#10;ACAAAAA4AAAAZHJzL2Rvd25yZXYueG1sUEsBAhQAFAAAAAgAh07iQDMvBZ47AAAAOQAAABUAAAAA&#10;AAAAAQAgAAAAJAEAAGRycy9ncm91cHNoYXBleG1sLnhtbFBLBQYAAAAABgAGAGABAADhAwAAAAA=&#10;">
                  <o:lock v:ext="edit" aspectratio="f"/>
                  <v:shape id="_x0000_s1026" o:spid="_x0000_s1026" o:spt="58" type="#_x0000_t58" style="position:absolute;left:10557;top:866096;height:1350;width:1561;v-text-anchor:middle;" filled="f" stroked="t" coordsize="21600,21600" o:gfxdata="UEsFBgAAAAAAAAAAAAAAAAAAAAAAAFBLAwQKAAAAAACHTuJAAAAAAAAAAAAAAAAABAAAAGRycy9Q&#10;SwMEFAAAAAgAh07iQPigH53AAAAA3AAAAA8AAABkcnMvZG93bnJldi54bWxFj0FrAjEUhO+C/yE8&#10;wVvNuoLYrVHEtiAIhWoL9vbYvG623bxsN3FN/31TEDwOM/MNs1xH24ieOl87VjCdZCCIS6drrhS8&#10;HZ/vFiB8QNbYOCYFv+RhvRoOllhod+FX6g+hEgnCvkAFJoS2kNKXhiz6iWuJk/fpOoshya6SusNL&#10;gttG5lk2lxZrTgsGW9oaKr8PZ6tg178sYnzaf/3c+4/cPMbT+6Y/KTUeTbMHEIFiuIWv7Z1WkM/m&#10;8H8mHQG5+g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KAfncAAAADcAAAADwAAAAAAAAABACAAAAA4AAAAZHJzL2Rvd25y&#10;ZXYueG1sUEsBAhQAFAAAAAgAh07iQDMvBZ47AAAAOQAAABAAAAAAAAAAAQAgAAAAJQEAAGRycy9z&#10;aGFwZXhtbC54bWxQSwUGAAAAAAYABgBbAQAAzwMAAAAA&#10;" adj="2700">
                    <v:fill on="f" focussize="0,0"/>
                    <v:stroke weight="1pt" color="#000000" joinstyle="round" endarrow="block"/>
                    <v:imagedata o:title=""/>
                    <o:lock v:ext="edit" aspectratio="f"/>
                  </v:shape>
                  <v:shape id="_x0000_s1026" o:spid="_x0000_s1026" o:spt="202" type="#_x0000_t202" style="position:absolute;left:10681;top:866611;height:451;width:1236;" filled="f" stroked="f" coordsize="21600,21600" o:gfxdata="UEsFBgAAAAAAAAAAAAAAAAAAAAAAAFBLAwQKAAAAAACHTuJAAAAAAAAAAAAAAAAABAAAAGRycy9Q&#10;SwMEFAAAAAgAh07iQIyP2dO+AAAA3AAAAA8AAABkcnMvZG93bnJldi54bWxFj0FrwkAUhO+F/ofl&#10;FbzV3YiRmLrm0FLwZDHagrdH9pmEZt+G7Nak/75bEDwOM/MNsykm24krDb51rCGZKxDElTMt1xpO&#10;x/fnDIQPyAY7x6ThlzwU28eHDebGjXygaxlqESHsc9TQhNDnUvqqIYt+7nri6F3cYDFEOdTSDDhG&#10;uO3kQqmVtNhyXGiwp9eGqu/yx2r43F/OX0v1Ub/ZtB/dpCTbtdR69pSoFxCBpnAP39o7o2GRpfB/&#10;Jh4Buf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yP2dO+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pStyle w:val="6"/>
                            <w:jc w:val="center"/>
                            <w:rPr>
                              <w:rFonts w:ascii="方正仿宋_GBK" w:eastAsia="方正仿宋_GBK"/>
                              <w:sz w:val="21"/>
                            </w:rPr>
                          </w:pPr>
                          <w:r>
                            <w:rPr>
                              <w:rFonts w:hint="eastAsia" w:ascii="方正仿宋_GBK" w:eastAsia="方正仿宋_GBK"/>
                              <w:color w:val="000000"/>
                              <w:kern w:val="24"/>
                              <w:sz w:val="21"/>
                            </w:rPr>
                            <w:t>突发事件</w:t>
                          </w:r>
                        </w:p>
                      </w:txbxContent>
                    </v:textbox>
                  </v:shape>
                </v:group>
                <v:shape id="_x0000_s1026" o:spid="_x0000_s1026" o:spt="202" type="#_x0000_t202" style="position:absolute;left:9120;top:859237;height:495;width:627;" filled="f" stroked="f" coordsize="21600,21600" o:gfxdata="UEsFBgAAAAAAAAAAAAAAAAAAAAAAAFBLAwQKAAAAAACHTuJAAAAAAAAAAAAAAAAABAAAAGRycy9Q&#10;SwMEFAAAAAgAh07iQIa/13q9AAAA3AAAAA8AAABkcnMvZG93bnJldi54bWxFj0trwzAQhO+F/gex&#10;hd4aKaYpiWPFh5ZCTi15Qm6LtX5Qa2UsxXb/fRUI9DjMzDdMlk+2FQP1vnGsYT5TIIgLZxquNBwP&#10;ny9LED4gG2wdk4Zf8pBvHh8yTI0beUfDPlQiQtinqKEOoUul9EVNFv3MdcTRK11vMUTZV9L0OEa4&#10;bWWi1Ju02HBcqLGj95qKn/3Vajh9lZfzq/quPuyiG92kJNuV1Pr5aa7WIAJN4T98b2+NhmSVwO1M&#10;PAJy8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r/Xer0AAADc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是</w:t>
                        </w:r>
                      </w:p>
                    </w:txbxContent>
                  </v:textbox>
                </v:shape>
                <v:group id="_x0000_s1026" o:spid="_x0000_s1026" o:spt="203" style="position:absolute;left:7133;top:856430;height:454;width:1404;" coordorigin="6699,855548" coordsize="2482,536" o:gfxdata="UEsFBgAAAAAAAAAAAAAAAAAAAAAAAFBLAwQKAAAAAACHTuJAAAAAAAAAAAAAAAAABAAAAGRycy9Q&#10;SwMEFAAAAAgAh07iQNzHZke+AAAA2wAAAA8AAABkcnMvZG93bnJldi54bWxFj09rwkAUxO+Ffofl&#10;FbzVTSJKSV2lBC0epKAWxNsj+0yC2bchu82fb+8KBY/DzPyGWa4HU4uOWldZVhBPIxDEudUVFwp+&#10;T9v3DxDOI2usLZOCkRysV68vS0y17flA3dEXIkDYpaig9L5JpXR5SQbd1DbEwbva1qAPsi2kbrEP&#10;cFPLJIoW0mDFYaHEhrKS8tvxzyj47rH/msWbbn+7ZuPlNP8572NSavIWR58gPA3+Gf5v77SCZAGP&#10;L+EHyNU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cx2ZHvgAAANsAAAAPAAAAAAAAAAEA&#10;IAAAADgAAABkcnMvZG93bnJldi54bWxQSwECFAAUAAAACACHTuJAMy8FnjsAAAA5AAAAFQAAAAAA&#10;AAABACAAAAAjAQAAZHJzL2dyb3Vwc2hhcGV4bWwueG1sUEsFBgAAAAAGAAYAYAEAAOADAAAAAA==&#10;">
                  <o:lock v:ext="edit" aspectratio="f"/>
                  <v:rect id="_x0000_s1026" o:spid="_x0000_s1026" o:spt="1" style="position:absolute;left:6699;top:855548;height:537;width:2482;v-text-anchor:middle;" filled="f" stroked="t" coordsize="21600,21600" o:gfxdata="UEsFBgAAAAAAAAAAAAAAAAAAAAAAAFBLAwQKAAAAAACHTuJAAAAAAAAAAAAAAAAABAAAAGRycy9Q&#10;SwMEFAAAAAgAh07iQIhXNH+9AAAA2wAAAA8AAABkcnMvZG93bnJldi54bWxFj81uwjAQhO9IvIO1&#10;SNzACQd+Ak7UViAVxAXoA2zjJQmN11FsIH17jITEcTQz32hWWWdqcaPWVZYVxOMIBHFudcWFgp/T&#10;ZjQH4TyyxtoyKfgnB1na760w0fbOB7odfSEChF2CCkrvm0RKl5dk0I1tQxy8s20N+iDbQuoW7wFu&#10;ajmJoqk0WHFYKLGhr5Lyv+PVKJCf6/1197tduI91Vy0u57jL/Uap4SCOliA8df4dfrW/tYLJDJ5f&#10;wg+Q6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Fc0f70AAADb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rect>
                  <v:shape id="_x0000_s1026" o:spid="_x0000_s1026" o:spt="202" type="#_x0000_t202" style="position:absolute;left:6709;top:855576;height:470;width:2443;" filled="f" stroked="f" coordsize="21600,21600" o:gfxdata="UEsFBgAAAAAAAAAAAAAAAAAAAAAAAFBLAwQKAAAAAACHTuJAAAAAAAAAAAAAAAAABAAAAGRycy9Q&#10;SwMEFAAAAAgAh07iQL91Gxm9AAAA2wAAAA8AAABkcnMvZG93bnJldi54bWxFT8tqwkAU3Rf8h+EW&#10;3NWJgg+ioxRLoYv6aCyU7C6ZaxLM3Elnpib+vbMQujyc92rTm0ZcyfnasoLxKAFBXFhdc6ng+/T+&#10;sgDhA7LGxjIpuJGHzXrwtMJU246/6JqFUsQQ9ikqqEJoUyl9UZFBP7ItceTO1hkMEbpSaoddDDeN&#10;nCTJTBqsOTZU2NK2ouKS/RkFPzc3zT+Pv295frjM++64371me6WGz+NkCSJQH/7FD/eHVjCJY+OX&#10;+APk+g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3UbGb0AAADbAAAADwAAAAAAAAABACAAAAA4AAAAZHJzL2Rvd25yZXYu&#10;eG1sUEsBAhQAFAAAAAgAh07iQDMvBZ47AAAAOQAAABAAAAAAAAAAAQAgAAAAIgEAAGRycy9zaGFw&#10;ZXhtbC54bWxQSwUGAAAAAAYABgBbAQAAzAMAAAAA&#10;">
                    <v:fill on="f" focussize="0,0"/>
                    <v:stroke on="f"/>
                    <v:imagedata o:title=""/>
                    <o:lock v:ext="edit" aspectratio="f"/>
                    <v:textbox inset="0mm,1mm,0mm,1.27mm">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信息上报</w:t>
                          </w:r>
                        </w:p>
                      </w:txbxContent>
                    </v:textbox>
                  </v:shape>
                </v:group>
                <v:group id="_x0000_s1026" o:spid="_x0000_s1026" o:spt="203" style="position:absolute;left:7128;top:857343;height:454;width:1404;" coordorigin="6699,855548" coordsize="2482,536" o:gfxdata="UEsFBgAAAAAAAAAAAAAAAAAAAAAAAFBLAwQKAAAAAACHTuJAAAAAAAAAAAAAAAAABAAAAGRycy9Q&#10;SwMEFAAAAAgAh07iQK1Y8jW/AAAA2wAAAA8AAABkcnMvZG93bnJldi54bWxFj0FrwkAUhO9C/8Py&#10;Cr3pJhHFpq6hSC0eQsFYKL09ss8kmH0bstvE/PtuoeBxmJlvmG12M60YqHeNZQXxIgJBXFrdcKXg&#10;83yYb0A4j6yxtUwKJnKQ7R5mW0y1HflEQ+ErESDsUlRQe9+lUrqyJoNuYTvi4F1sb9AH2VdS9zgG&#10;uGllEkVrabDhsFBjR/uaymvxYxS8jzi+LuO3Ib9e9tP3efXxlcek1NNjHL2A8HTz9/B/+6gVJM/w&#10;9yX8ALn7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rVjyNb8AAADbAAAADwAAAAAAAAAB&#10;ACAAAAA4AAAAZHJzL2Rvd25yZXYueG1sUEsBAhQAFAAAAAgAh07iQDMvBZ47AAAAOQAAABUAAAAA&#10;AAAAAQAgAAAAJAEAAGRycy9ncm91cHNoYXBleG1sLnhtbFBLBQYAAAAABgAGAGABAADhAwAAAAA=&#10;">
                  <o:lock v:ext="edit" aspectratio="f"/>
                  <v:rect id="_x0000_s1026" o:spid="_x0000_s1026" o:spt="1" style="position:absolute;left:6699;top:855548;height:537;width:2482;v-text-anchor:middle;" filled="f" stroked="t" coordsize="21600,21600" o:gfxdata="UEsFBgAAAAAAAAAAAAAAAAAAAAAAAFBLAwQKAAAAAACHTuJAAAAAAAAAAAAAAAAABAAAAGRycy9Q&#10;SwMEFAAAAAgAh07iQIJnOta7AAAA2wAAAA8AAABkcnMvZG93bnJldi54bWxFT81qwkAQvgt9h2UK&#10;3swmFaSJrtIWA1p6Me0DjNkxiWZnQ3aN8e27B8Hjx/e/2oymFQP1rrGsIIliEMSl1Q1XCv5+89k7&#10;COeRNbaWScGdHGzWL5MVZtre+EBD4SsRQthlqKD2vsukdGVNBl1kO+LAnWxv0AfYV1L3eAvhppVv&#10;cbyQBhsODTV29FVTeSmuRoH83P5cv4/71H1sxyY9n5Kx9LlS09ckXoLwNPqn+OHeaQXzsD58CT9A&#10;rv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JnOta7AAAA2wAAAA8AAAAAAAAAAQAgAAAAOAAAAGRycy9kb3ducmV2Lnht&#10;bFBLAQIUABQAAAAIAIdO4kAzLwWeOwAAADkAAAAQAAAAAAAAAAEAIAAAACABAABkcnMvc2hhcGV4&#10;bWwueG1sUEsFBgAAAAAGAAYAWwEAAMoDAAAAAA==&#10;">
                    <v:fill on="f" focussize="0,0"/>
                    <v:stroke weight="1pt" color="#000000" joinstyle="round" endarrow="block"/>
                    <v:imagedata o:title=""/>
                    <o:lock v:ext="edit" aspectratio="f"/>
                  </v:rect>
                  <v:shape id="_x0000_s1026" o:spid="_x0000_s1026" o:spt="202" type="#_x0000_t202" style="position:absolute;left:6709;top:855576;height:470;width:2443;" filled="f" stroked="f" coordsize="21600,21600" o:gfxdata="UEsFBgAAAAAAAAAAAAAAAAAAAAAAAFBLAwQKAAAAAACHTuJAAAAAAAAAAAAAAAAABAAAAGRycy9Q&#10;SwMEFAAAAAgAh07iQKuWJFnAAAAA2wAAAA8AAABkcnMvZG93bnJldi54bWxFj09Lw0AUxO+C32F5&#10;gje7iUUtabdFLAUP2j9poeT2yD6T0OzbdHdt0m/vCoLHYWZ+w8wWg2nFhZxvLCtIRwkI4tLqhisF&#10;h/3qYQLCB2SNrWVScCUPi/ntzQwzbXve0SUPlYgQ9hkqqEPoMil9WZNBP7IdcfS+rDMYonSV1A77&#10;CDetfEySZ2mw4bhQY0dvNZWn/NsoOF7dU/GxPS+LYnN6Gfrt+vM1Xyt1f5cmUxCBhvAf/mu/awXj&#10;FH6/xB8g5z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q5YkWcAAAADbAAAADwAAAAAAAAABACAAAAA4AAAAZHJzL2Rvd25y&#10;ZXYueG1sUEsBAhQAFAAAAAgAh07iQDMvBZ47AAAAOQAAABAAAAAAAAAAAQAgAAAAJQEAAGRycy9z&#10;aGFwZXhtbC54bWxQSwUGAAAAAAYABgBbAQAAzwMAAAAA&#10;">
                    <v:fill on="f" focussize="0,0"/>
                    <v:stroke on="f"/>
                    <v:imagedata o:title=""/>
                    <o:lock v:ext="edit" aspectratio="f"/>
                    <v:textbox inset="0mm,1mm,0mm,1.27mm">
                      <w:txbxContent>
                        <w:p>
                          <w:pPr>
                            <w:pStyle w:val="6"/>
                            <w:jc w:val="center"/>
                            <w:rPr>
                              <w:rFonts w:ascii="方正仿宋_GBK" w:eastAsia="方正仿宋_GBK"/>
                              <w:color w:val="000000"/>
                              <w:kern w:val="24"/>
                              <w:sz w:val="21"/>
                            </w:rPr>
                          </w:pPr>
                          <w:r>
                            <w:rPr>
                              <w:rFonts w:hint="eastAsia" w:ascii="方正仿宋_GBK" w:eastAsia="方正仿宋_GBK"/>
                              <w:color w:val="000000"/>
                              <w:kern w:val="24"/>
                              <w:sz w:val="21"/>
                            </w:rPr>
                            <w:t>先期处置</w:t>
                          </w:r>
                        </w:p>
                      </w:txbxContent>
                    </v:textbox>
                  </v:shape>
                </v:group>
                <v:group id="_x0000_s1026" o:spid="_x0000_s1026" o:spt="203" style="position:absolute;left:7134;top:858278;height:454;width:1404;" coordorigin="6699,855548" coordsize="2482,536" o:gfxdata="UEsFBgAAAAAAAAAAAAAAAAAAAAAAAFBLAwQKAAAAAACHTuJAAAAAAAAAAAAAAAAABAAAAGRycy9Q&#10;SwMEFAAAAAgAh07iQCYl9pm9AAAA2wAAAA8AAABkcnMvZG93bnJldi54bWxFj0+LwjAUxO+C3yE8&#10;wZumVVaWrqksouJBBHVBvD2a1z/YvJQmtvrtN8LCHoeZ+Q2zXD1NLTpqXWVZQTyNQBBnVldcKPi5&#10;bCefIJxH1lhbJgUvcrBKh4MlJtr2fKLu7AsRIOwSVFB63yRSuqwkg25qG+Lg5bY16INsC6lb7APc&#10;1HIWRQtpsOKwUGJD65Ky+/lhFOx67L/n8aY73PP163b5OF4PMSk1HsXRFwhPT/8f/mvvtYL5DN5f&#10;wg+Q6S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CYl9pm9AAAA2wAAAA8AAAAAAAAAAQAg&#10;AAAAOAAAAGRycy9kb3ducmV2LnhtbFBLAQIUABQAAAAIAIdO4kAzLwWeOwAAADkAAAAVAAAAAAAA&#10;AAEAIAAAACIBAABkcnMvZ3JvdXBzaGFwZXhtbC54bWxQSwUGAAAAAAYABgBgAQAA3wMAAAAA&#10;">
                  <o:lock v:ext="edit" aspectratio="f"/>
                  <v:rect id="_x0000_s1026" o:spid="_x0000_s1026" o:spt="1" style="position:absolute;left:6699;top:855548;height:537;width:2482;v-text-anchor:middle;" filled="f" stroked="t" coordsize="21600,21600" o:gfxdata="UEsFBgAAAAAAAAAAAAAAAAAAAAAAAFBLAwQKAAAAAACHTuJAAAAAAAAAAAAAAAAABAAAAGRycy9Q&#10;SwMEFAAAAAgAh07iQHK1pKG+AAAA2wAAAA8AAABkcnMvZG93bnJldi54bWxFj9FqwkAURN8F/2G5&#10;Qt/MJhWkRjehLQq19MXYD7jNXpPY7N2QXZP077uFgo/DzJxhdvlkWjFQ7xrLCpIoBkFcWt1wpeDz&#10;fFg+gXAeWWNrmRT8kIM8m892mGo78omGwlciQNilqKD2vkuldGVNBl1kO+LgXWxv0AfZV1L3OAa4&#10;aeVjHK+lwYbDQo0dvdZUfhc3o0C+7D9u71/HjXveT83mekmm0h+Uelgk8RaEp8nfw//tN61gtYK/&#10;L+EHyOw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K1pKG+AAAA2wAAAA8AAAAAAAAAAQAgAAAAOAAAAGRycy9kb3ducmV2&#10;LnhtbFBLAQIUABQAAAAIAIdO4kAzLwWeOwAAADkAAAAQAAAAAAAAAAEAIAAAACMBAABkcnMvc2hh&#10;cGV4bWwueG1sUEsFBgAAAAAGAAYAWwEAAM0DAAAAAA==&#10;">
                    <v:fill on="f" focussize="0,0"/>
                    <v:stroke weight="1pt" color="#000000" joinstyle="round" endarrow="block"/>
                    <v:imagedata o:title=""/>
                    <o:lock v:ext="edit" aspectratio="f"/>
                  </v:rect>
                  <v:shape id="_x0000_s1026" o:spid="_x0000_s1026" o:spt="202" type="#_x0000_t202" style="position:absolute;left:6709;top:855576;height:470;width:2443;" filled="f" stroked="f" coordsize="21600,21600" o:gfxdata="UEsFBgAAAAAAAAAAAAAAAAAAAAAAAFBLAwQKAAAAAACHTuJAAAAAAAAAAAAAAAAABAAAAGRycy9Q&#10;SwMEFAAAAAgAh07iQLvhh8HBAAAA2wAAAA8AAABkcnMvZG93bnJldi54bWxFj0FrwkAUhO+F/ofl&#10;FbzVja22JbpKaRE8qLVpoeT2yD6TYPZturua+O+7gtDjMDPfMLNFbxpxIudrywpGwwQEcWF1zaWC&#10;76/l/QsIH5A1NpZJwZk8LOa3NzNMte34k05ZKEWEsE9RQRVCm0rpi4oM+qFtiaO3t85giNKVUjvs&#10;Itw08iFJnqTBmuNChS29VVQcsqNR8HN2k3y9+33P84/Dc9/ttpvXbKvU4G6UTEEE6sN/+NpeaQWP&#10;Y7h8iT9Azv8A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Lvhh8HBAAAA2wAAAA8AAAAAAAAAAQAgAAAAOAAAAGRycy9kb3du&#10;cmV2LnhtbFBLAQIUABQAAAAIAIdO4kAzLwWeOwAAADkAAAAQAAAAAAAAAAEAIAAAACYBAABkcnMv&#10;c2hhcGV4bWwueG1sUEsFBgAAAAAGAAYAWwEAANADAAAAAA==&#10;">
                    <v:fill on="f" focussize="0,0"/>
                    <v:stroke on="f"/>
                    <v:imagedata o:title=""/>
                    <o:lock v:ext="edit" aspectratio="f"/>
                    <v:textbox inset="0mm,1mm,0mm,1.27mm">
                      <w:txbxContent>
                        <w:p>
                          <w:pPr>
                            <w:pStyle w:val="6"/>
                            <w:jc w:val="center"/>
                            <w:rPr>
                              <w:rFonts w:ascii="方正仿宋_GBK" w:eastAsia="方正仿宋_GBK"/>
                              <w:color w:val="000000"/>
                              <w:kern w:val="24"/>
                              <w:sz w:val="21"/>
                            </w:rPr>
                          </w:pPr>
                          <w:r>
                            <w:rPr>
                              <w:rFonts w:hint="eastAsia" w:ascii="方正仿宋_GBK" w:eastAsia="方正仿宋_GBK"/>
                              <w:color w:val="000000"/>
                              <w:kern w:val="24"/>
                              <w:sz w:val="21"/>
                            </w:rPr>
                            <w:t>信息研判</w:t>
                          </w:r>
                        </w:p>
                      </w:txbxContent>
                    </v:textbox>
                  </v:shape>
                </v:group>
                <v:shape id="_x0000_s1026" o:spid="_x0000_s1026" o:spt="32" type="#_x0000_t32" style="position:absolute;left:7824;top:857804;height:472;width:11;" filled="f" stroked="t" coordsize="21600,21600" o:gfxdata="UEsFBgAAAAAAAAAAAAAAAAAAAAAAAFBLAwQKAAAAAACHTuJAAAAAAAAAAAAAAAAABAAAAGRycy9Q&#10;SwMEFAAAAAgAh07iQFAZCse8AAAA2wAAAA8AAABkcnMvZG93bnJldi54bWxFj8FqwzAQRO+B/oPY&#10;Qi+hke0WU5woARdcfG0ael6sre3EWhlJsd2/jwKFHoeZecPsDosZxETO95YVpJsEBHFjdc+tgtNX&#10;9fwGwgdkjYNlUvBLHg77h9UOC21n/qTpGFoRIewLVNCFMBZS+qYjg35jR+Lo/VhnMETpWqkdzhFu&#10;BpklSS4N9hwXOhzpvaPmcrwaBWtryrOvLh/l9bWpXJl/19RmSj09pskWRKAl/If/2rVW8JLD/Uv8&#10;AXJ/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QGQrHvAAAANsAAAAPAAAAAAAAAAEAIAAAADgAAABkcnMvZG93bnJldi54&#10;bWxQSwECFAAUAAAACACHTuJAMy8FnjsAAAA5AAAAEAAAAAAAAAABACAAAAAhAQAAZHJzL3NoYXBl&#10;eG1sLnhtbFBLBQYAAAAABgAGAFsBAADLAwAAAAA=&#10;">
                  <v:fill on="f" focussize="0,0"/>
                  <v:stroke weight="1pt" color="#000000" joinstyle="round" endarrow="block"/>
                  <v:imagedata o:title=""/>
                  <o:lock v:ext="edit" aspectratio="f"/>
                </v:shape>
                <v:shape id="_x0000_s1026" o:spid="_x0000_s1026" o:spt="32" type="#_x0000_t32" style="position:absolute;left:7840;top:858748;height:472;width:11;" filled="f" stroked="t" coordsize="21600,21600" o:gfxdata="UEsFBgAAAAAAAAAAAAAAAAAAAAAAAFBLAwQKAAAAAACHTuJAAAAAAAAAAAAAAAAABAAAAGRycy9Q&#10;SwMEFAAAAAgAh07iQD9Vr1y6AAAA2wAAAA8AAABkcnMvZG93bnJldi54bWxFj0urwjAUhPcX/A/h&#10;CG4umqoXlWoUKlTc+sD1oTm21eakJPH1740g3OUwM98wi9XTNOJOzteWFQwHCQjiwuqaSwXHQ96f&#10;gfABWWNjmRS8yMNq2flZYKrtg3d034dSRAj7FBVUIbSplL6oyKAf2JY4emfrDIYoXSm1w0eEm0aO&#10;kmQiDdYcFypsaV1Rcd3fjIJfa7KLz6+b7PZX5C6bnLZUjpTqdYfJHESgZ/gPf9tbrWA8hc+X+APk&#10;8g1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P1WvXLoAAADbAAAADwAAAAAAAAABACAAAAA4AAAAZHJzL2Rvd25yZXYueG1s&#10;UEsBAhQAFAAAAAgAh07iQDMvBZ47AAAAOQAAABAAAAAAAAAAAQAgAAAAHwEAAGRycy9zaGFwZXht&#10;bC54bWxQSwUGAAAAAAYABgBbAQAAyQMAAAAA&#10;">
                  <v:fill on="f" focussize="0,0"/>
                  <v:stroke weight="1pt" color="#000000" joinstyle="round" endarrow="block"/>
                  <v:imagedata o:title=""/>
                  <o:lock v:ext="edit" aspectratio="f"/>
                </v:shape>
                <v:group id="_x0000_s1026" o:spid="_x0000_s1026" o:spt="203" style="position:absolute;left:9959;top:859138;height:862;width:2046;" coordorigin="6699,855548" coordsize="2482,536" o:gfxdata="UEsFBgAAAAAAAAAAAAAAAAAAAAAAAFBLAwQKAAAAAACHTuJAAAAAAAAAAAAAAAAABAAAAGRycy9Q&#10;SwMEFAAAAAgAh07iQCiBZOi9AAAA2wAAAA8AAABkcnMvZG93bnJldi54bWxFj0GLwjAUhO+C/yE8&#10;wduaVtllrUYRUdmDLGwVxNujebbF5qU0sdV/b4QFj8PMfMPMl3dTiZYaV1pWEI8iEMSZ1SXnCo6H&#10;7cc3COeRNVaWScGDHCwX/d4cE207/qM29bkIEHYJKii8rxMpXVaQQTeyNXHwLrYx6INscqkb7ALc&#10;VHIcRV/SYMlhocCa1gVl1/RmFOw67FaTeNPur5f143z4/D3tY1JqOIijGQhPd/8O/7d/tILJFF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CiBZOi9AAAA2wAAAA8AAAAAAAAAAQAg&#10;AAAAOAAAAGRycy9kb3ducmV2LnhtbFBLAQIUABQAAAAIAIdO4kAzLwWeOwAAADkAAAAVAAAAAAAA&#10;AAEAIAAAACIBAABkcnMvZ3JvdXBzaGFwZXhtbC54bWxQSwUGAAAAAAYABgBgAQAA3wMAAAAA&#10;">
                  <o:lock v:ext="edit" aspectratio="f"/>
                  <v:rect id="_x0000_s1026" o:spid="_x0000_s1026" o:spt="1" style="position:absolute;left:6699;top:855548;height:537;width:2482;v-text-anchor:middle;" filled="f" stroked="t" coordsize="21600,21600" o:gfxdata="UEsFBgAAAAAAAAAAAAAAAAAAAAAAAFBLAwQKAAAAAACHTuJAAAAAAAAAAAAAAAAABAAAAGRycy9Q&#10;SwMEFAAAAAgAh07iQNphSau7AAAA2wAAAA8AAABkcnMvZG93bnJldi54bWxFT81qwkAQvgt9h2UK&#10;3swmRaSJrtIWA1p6Me0DjNkxiWZnQ3aN8e27B8Hjx/e/2oymFQP1rrGsIIliEMSl1Q1XCv5+89k7&#10;COeRNbaWScGdHGzWL5MVZtre+EBD4SsRQthlqKD2vsukdGVNBl1kO+LAnWxv0AfYV1L3eAvhppVv&#10;cbyQBhsODTV29FVTeSmuRoH83P5cv4/71H1sxyY9n5Kx9LlS09ckXoLwNPqn+OHeaQXzsD58CT9A&#10;rv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phSau7AAAA2wAAAA8AAAAAAAAAAQAgAAAAOAAAAGRycy9kb3ducmV2Lnht&#10;bFBLAQIUABQAAAAIAIdO4kAzLwWeOwAAADkAAAAQAAAAAAAAAAEAIAAAACABAABkcnMvc2hhcGV4&#10;bWwueG1sUEsFBgAAAAAGAAYAWwEAAMoDAAAAAA==&#10;">
                    <v:fill on="f" focussize="0,0"/>
                    <v:stroke weight="1pt" color="#000000" joinstyle="round" endarrow="block"/>
                    <v:imagedata o:title=""/>
                    <o:lock v:ext="edit" aspectratio="f"/>
                  </v:rect>
                  <v:shape id="_x0000_s1026" o:spid="_x0000_s1026" o:spt="202" type="#_x0000_t202" style="position:absolute;left:6709;top:855576;height:470;width:2443;" filled="f" stroked="f" coordsize="21600,21600" o:gfxdata="UEsFBgAAAAAAAAAAAAAAAAAAAAAAAFBLAwQKAAAAAACHTuJAAAAAAAAAAAAAAAAABAAAAGRycy9Q&#10;SwMEFAAAAAgAh07iQGfBf5S7AAAA2wAAAA8AAABkcnMvZG93bnJldi54bWxFj0GLwjAUhO8L/ofw&#10;BG9rUl2kVKOIsLA3UQt7fTRvm2LzUpqo1V9vhAWPw8x8w6w2g2vFlfrQeNaQTRUI4sqbhmsN5en7&#10;MwcRIrLB1jNpuFOAzXr0scLC+Bsf6HqMtUgQDgVqsDF2hZShsuQwTH1HnLw/3zuMSfa1ND3eEty1&#10;cqbUQjpsOC1Y7GhnqTofL07D71bNF3u5m4dyFob8UR/KfLBaT8aZWoKINMR3+L/9YzR8ZfD6kn6A&#10;XD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fBf5S7AAAA2wAAAA8AAAAAAAAAAQAgAAAAOAAAAGRycy9kb3ducmV2Lnht&#10;bFBLAQIUABQAAAAIAIdO4kAzLwWeOwAAADkAAAAQAAAAAAAAAAEAIAAAACABAABkcnMvc2hhcGV4&#10;bWwueG1sUEsFBgAAAAAGAAYAWwEAAMoDAAAAAA==&#10;">
                    <v:fill on="f" focussize="0,0"/>
                    <v:stroke on="f"/>
                    <v:imagedata o:title=""/>
                    <o:lock v:ext="edit" aspectratio="f"/>
                    <v:textbox inset="0mm,2mm,0mm,1.27mm">
                      <w:txbxContent>
                        <w:p>
                          <w:pPr>
                            <w:pStyle w:val="6"/>
                            <w:adjustRightInd w:val="0"/>
                            <w:snapToGrid w:val="0"/>
                            <w:spacing w:line="60" w:lineRule="atLeast"/>
                            <w:jc w:val="center"/>
                            <w:rPr>
                              <w:rFonts w:ascii="方正仿宋_GBK" w:eastAsia="方正仿宋_GBK"/>
                              <w:sz w:val="22"/>
                            </w:rPr>
                          </w:pPr>
                          <w:r>
                            <w:rPr>
                              <w:rFonts w:hint="eastAsia" w:ascii="方正仿宋_GBK" w:eastAsia="方正仿宋_GBK"/>
                              <w:color w:val="000000"/>
                              <w:kern w:val="24"/>
                              <w:sz w:val="22"/>
                            </w:rPr>
                            <w:t>上报国家，省、市政府及省交通运输厅</w:t>
                          </w:r>
                        </w:p>
                      </w:txbxContent>
                    </v:textbox>
                  </v:shape>
                </v:group>
                <v:shape id="_x0000_s1026" o:spid="_x0000_s1026" o:spt="32" type="#_x0000_t32" style="position:absolute;left:7855;top:859998;height:472;width:11;" filled="f" stroked="t" coordsize="21600,21600" o:gfxdata="UEsFBgAAAAAAAAAAAAAAAAAAAAAAAFBLAwQKAAAAAACHTuJAAAAAAAAAAAAAAAAABAAAAGRycy9Q&#10;SwMEFAAAAAgAh07iQHckf7m5AAAA2wAAAA8AAABkcnMvZG93bnJldi54bWxFj0urwjAUhPcX/A/h&#10;CG4umlpEpBqFChW3PnB9aI5ttTkpSXz9eyMILoeZ+YZZrJ6mFXdyvrGsYDxKQBCXVjdcKTgeiuEM&#10;hA/IGlvLpOBFHlbL3t8CM20fvKP7PlQiQthnqKAOocuk9GVNBv3IdsTRO1tnMETpKqkdPiLctDJN&#10;kqk02HBcqLGjdU3ldX8zCv6tyS++uG7y26QsXD49balKlRr0x8kcRKBn+IW/7a1WMEnh8yX+ALl8&#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3JH+5uQAAANsAAAAPAAAAAAAAAAEAIAAAADgAAABkcnMvZG93bnJldi54bWxQ&#10;SwECFAAUAAAACACHTuJAMy8FnjsAAAA5AAAAEAAAAAAAAAABACAAAAAeAQAAZHJzL3NoYXBleG1s&#10;LnhtbFBLBQYAAAAABgAGAFsBAADIAwAAAAA=&#10;">
                  <v:fill on="f" focussize="0,0"/>
                  <v:stroke weight="1pt" color="#000000" joinstyle="round" endarrow="block"/>
                  <v:imagedata o:title=""/>
                  <o:lock v:ext="edit" aspectratio="f"/>
                </v:shape>
                <v:group id="_x0000_s1026" o:spid="_x0000_s1026" o:spt="203" style="position:absolute;left:7159;top:861876;height:454;width:1404;" coordorigin="6699,855548" coordsize="2482,536" o:gfxdata="UEsFBgAAAAAAAAAAAAAAAAAAAAAAAFBLAwQKAAAAAACHTuJAAAAAAAAAAAAAAAAABAAAAGRycy9Q&#10;SwMEFAAAAAgAh07iQJ6GuAu9AAAA2wAAAA8AAABkcnMvZG93bnJldi54bWxFj0GLwjAUhO8L/ofw&#10;hL2taV1XpBpFRMWDLFgF8fZonm2xeSlNbPXfG2Fhj8PMfMPMFg9TiZYaV1pWEA8iEMSZ1SXnCk7H&#10;zdcEhPPIGivLpOBJDhbz3scME207PlCb+lwECLsEFRTe14mULivIoBvYmjh4V9sY9EE2udQNdgFu&#10;KjmMorE0WHJYKLCmVUHZLb0bBdsOu+V3vG73t+vqeTn+/J73MSn12Y+jKQhPD/8f/mvvtILRCN5f&#10;wg+Q8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6GuAu9AAAA2wAAAA8AAAAAAAAAAQAg&#10;AAAAOAAAAGRycy9kb3ducmV2LnhtbFBLAQIUABQAAAAIAIdO4kAzLwWeOwAAADkAAAAVAAAAAAAA&#10;AAEAIAAAACIBAABkcnMvZ3JvdXBzaGFwZXhtbC54bWxQSwUGAAAAAAYABgBgAQAA3wMAAAAA&#10;">
                  <o:lock v:ext="edit" aspectratio="f"/>
                  <v:rect id="_x0000_s1026" o:spid="_x0000_s1026" o:spt="1" style="position:absolute;left:6699;top:855548;height:537;width:2482;v-text-anchor:middle;" filled="f" stroked="t" coordsize="21600,21600" o:gfxdata="UEsFBgAAAAAAAAAAAAAAAAAAAAAAAFBLAwQKAAAAAACHTuJAAAAAAAAAAAAAAAAABAAAAGRycy9Q&#10;SwMEFAAAAAgAh07iQMoW6jO8AAAA2wAAAA8AAABkcnMvZG93bnJldi54bWxFj92KwjAUhO8XfIdw&#10;BO807eKKVqPoorCKN/48wLE5ttXmpDRR69sbQdjLYWa+YSazxpTiTrUrLCuIexEI4tTqgjMFx8Oq&#10;OwThPLLG0jIpeJKD2bT1NcFE2wfv6L73mQgQdgkqyL2vEildmpNB17MVcfDOtjbog6wzqWt8BLgp&#10;5XcUDaTBgsNCjhX95pRe9zejQC6W29vmtB65+bIpRpdz3KR+pVSnHUdjEJ4a/x/+tP+0gv4PvL+E&#10;HyCn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KFuozvAAAANsAAAAPAAAAAAAAAAEAIAAAADgAAABkcnMvZG93bnJldi54&#10;bWxQSwECFAAUAAAACACHTuJAMy8FnjsAAAA5AAAAEAAAAAAAAAABACAAAAAhAQAAZHJzL3NoYXBl&#10;eG1sLnhtbFBLBQYAAAAABgAGAFsBAADLAwAAAAA=&#10;">
                    <v:fill on="f" focussize="0,0"/>
                    <v:stroke weight="1pt" color="#000000" joinstyle="round" endarrow="block"/>
                    <v:imagedata o:title=""/>
                    <o:lock v:ext="edit" aspectratio="f"/>
                  </v:rect>
                  <v:shape id="_x0000_s1026" o:spid="_x0000_s1026" o:spt="202" type="#_x0000_t202" style="position:absolute;left:6709;top:855576;height:470;width:2443;" filled="f" stroked="f" coordsize="21600,21600" o:gfxdata="UEsFBgAAAAAAAAAAAAAAAAAAAAAAAFBLAwQKAAAAAACHTuJAAAAAAAAAAAAAAAAABAAAAGRycy9Q&#10;SwMEFAAAAAgAh07iQHx5z1DAAAAA2wAAAA8AAABkcnMvZG93bnJldi54bWxFj0FrwkAUhO8F/8Py&#10;BG91o1hboquUiuChtTYtlNwe2WcSzL6Nu6uJ/75bKPQ4zMw3zHLdm0ZcyfnasoLJOAFBXFhdc6ng&#10;63N7/wTCB2SNjWVScCMP69Xgbompth1/0DULpYgQ9ikqqEJoUyl9UZFBP7YtcfSO1hkMUbpSaodd&#10;hJtGTpNkLg3WHBcqbOmlouKUXYyC75t7yF8P502ev58e++6wf3vO9kqNhpNkASJQH/7Df+2dVjCb&#10;w++X+APk6g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fHnPUMAAAADbAAAADwAAAAAAAAABACAAAAA4AAAAZHJzL2Rvd25y&#10;ZXYueG1sUEsBAhQAFAAAAAgAh07iQDMvBZ47AAAAOQAAABAAAAAAAAAAAQAgAAAAJQEAAGRycy9z&#10;aGFwZXhtbC54bWxQSwUGAAAAAAYABgBbAQAAzwMAAAAA&#10;">
                    <v:fill on="f" focussize="0,0"/>
                    <v:stroke on="f"/>
                    <v:imagedata o:title=""/>
                    <o:lock v:ext="edit" aspectratio="f"/>
                    <v:textbox inset="0mm,1mm,0mm,1.27mm">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信息上报</w:t>
                          </w:r>
                        </w:p>
                      </w:txbxContent>
                    </v:textbox>
                  </v:shape>
                </v:group>
                <v:group id="_x0000_s1026" o:spid="_x0000_s1026" o:spt="203" style="position:absolute;left:7153;top:863570;height:454;width:1404;" coordorigin="6699,855548" coordsize="2482,536" o:gfxdata="UEsFBgAAAAAAAAAAAAAAAAAAAAAAAFBLAwQKAAAAAACHTuJAAAAAAAAAAAAAAAAABAAAAGRycy9Q&#10;SwMEFAAAAAgAh07iQG5UJny/AAAA2wAAAA8AAABkcnMvZG93bnJldi54bWxFj81qwzAQhO+FvIPY&#10;Qm6N7Py0xY1sQkhCD6bQpFB6W6yNbWKtjKXY8dtXgUKPw8x8w6yzm2lET52rLSuIZxEI4sLqmksF&#10;X6f90ysI55E1NpZJwUgOsnTysMZE24E/qT/6UgQIuwQVVN63iZSuqMigm9mWOHhn2xn0QXal1B0O&#10;AW4aOY+iZ2mw5rBQYUvbiorL8WoUHAYcNot41+eX83b8Oa0+vvOYlJo+xtEbCE83/x/+a79rBcsX&#10;uH8JP0Cmv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blQmfL8AAADbAAAADwAAAAAAAAAB&#10;ACAAAAA4AAAAZHJzL2Rvd25yZXYueG1sUEsBAhQAFAAAAAgAh07iQDMvBZ47AAAAOQAAABUAAAAA&#10;AAAAAQAgAAAAJAEAAGRycy9ncm91cHNoYXBleG1sLnhtbFBLBQYAAAAABgAGAGABAADhAwAAAAA=&#10;">
                  <o:lock v:ext="edit" aspectratio="f"/>
                  <v:rect id="_x0000_s1026" o:spid="_x0000_s1026" o:spt="1" style="position:absolute;left:6699;top:855548;height:537;width:2482;v-text-anchor:middle;" filled="f" stroked="t" coordsize="21600,21600" o:gfxdata="UEsFBgAAAAAAAAAAAAAAAAAAAAAAAFBLAwQKAAAAAACHTuJAAAAAAAAAAAAAAAAABAAAAGRycy9Q&#10;SwMEFAAAAAgAh07iQCQXRa27AAAA2wAAAA8AAABkcnMvZG93bnJldi54bWxFT81qwkAQvgt9h2UK&#10;3swmRaSJrtIWA1p6Me0DjNkxiWZnQ3aN8e27B8Hjx/e/2oymFQP1rrGsIIliEMSl1Q1XCv5+89k7&#10;COeRNbaWScGdHGzWL5MVZtre+EBD4SsRQthlqKD2vsukdGVNBl1kO+LAnWxv0AfYV1L3eAvhppVv&#10;cbyQBhsODTV29FVTeSmuRoH83P5cv4/71H1sxyY9n5Kx9LlS09ckXoLwNPqn+OHeaQXzMDZ8CT9A&#10;rv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QXRa27AAAA2wAAAA8AAAAAAAAAAQAgAAAAOAAAAGRycy9kb3ducmV2Lnht&#10;bFBLAQIUABQAAAAIAIdO4kAzLwWeOwAAADkAAAAQAAAAAAAAAAEAIAAAACABAABkcnMvc2hhcGV4&#10;bWwueG1sUEsFBgAAAAAGAAYAWwEAAMoDAAAAAA==&#10;">
                    <v:fill on="f" focussize="0,0"/>
                    <v:stroke weight="1pt" color="#000000" joinstyle="round" endarrow="block"/>
                    <v:imagedata o:title=""/>
                    <o:lock v:ext="edit" aspectratio="f"/>
                  </v:rect>
                  <v:shape id="_x0000_s1026" o:spid="_x0000_s1026" o:spt="202" type="#_x0000_t202" style="position:absolute;left:6709;top:855576;height:470;width:2443;" filled="f" stroked="f" coordsize="21600,21600" o:gfxdata="UEsFBgAAAAAAAAAAAAAAAAAAAAAAAFBLAwQKAAAAAACHTuJAAAAAAAAAAAAAAAAABAAAAGRycy9Q&#10;SwMEFAAAAAgAh07iQA3mWyLBAAAA2wAAAA8AAABkcnMvZG93bnJldi54bWxFj0FrwkAUhO+F/ofl&#10;FbzVjaXaNrpKaRE8qLVpoeT2yD6TYPZturua+O+7gtDjMDPfMLNFbxpxIudrywpGwwQEcWF1zaWC&#10;76/l/TMIH5A1NpZJwZk8LOa3NzNMte34k05ZKEWEsE9RQRVCm0rpi4oM+qFtiaO3t85giNKVUjvs&#10;Itw08iFJJtJgzXGhwpbeKioO2dEo+Dm7cb7e/b7n+cfhqe92281rtlVqcDdKpiAC9eE/fG2vtILH&#10;F7h8iT9Azv8A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A3mWyLBAAAA2wAAAA8AAAAAAAAAAQAgAAAAOAAAAGRycy9kb3du&#10;cmV2LnhtbFBLAQIUABQAAAAIAIdO4kAzLwWeOwAAADkAAAAQAAAAAAAAAAEAIAAAACYBAABkcnMv&#10;c2hhcGV4bWwueG1sUEsFBgAAAAAGAAYAWwEAANADAAAAAA==&#10;">
                    <v:fill on="f" focussize="0,0"/>
                    <v:stroke on="f"/>
                    <v:imagedata o:title=""/>
                    <o:lock v:ext="edit" aspectratio="f"/>
                    <v:textbox inset="0mm,1mm,0mm,1.27mm">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应急处置</w:t>
                          </w:r>
                        </w:p>
                      </w:txbxContent>
                    </v:textbox>
                  </v:shape>
                </v:group>
                <v:shape id="_x0000_s1026" o:spid="_x0000_s1026" o:spt="32" type="#_x0000_t32" style="position:absolute;left:7850;top:862323;flip:x;height:1261;width:17;" filled="f" stroked="t" coordsize="21600,21600" o:gfxdata="UEsFBgAAAAAAAAAAAAAAAAAAAAAAAFBLAwQKAAAAAACHTuJAAAAAAAAAAAAAAAAABAAAAGRycy9Q&#10;SwMEFAAAAAgAh07iQPNQG9m/AAAA2wAAAA8AAABkcnMvZG93bnJldi54bWxFj0FrAjEUhO8F/0N4&#10;Qi9LTSxtKVujB6HYUhC0Knh7bF43i5uXdZPu6r83guBxmJlvmMns5GrRURsqzxrGIwWCuPCm4lLD&#10;5vfz6R1EiMgGa8+k4UwBZtPBwwRz43teUbeOpUgQDjlqsDE2uZShsOQwjHxDnLw/3zqMSbalNC32&#10;Ce5q+azUm3RYcVqw2NDcUnFY/zsNar89/iyqrrPZeZEdl9n3qt81Wj8Ox+oDRKRTvIdv7S+j4fUF&#10;rl/SD5DTC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zUBvZvwAAANsAAAAPAAAAAAAAAAEAIAAAADgAAABkcnMvZG93bnJl&#10;di54bWxQSwECFAAUAAAACACHTuJAMy8FnjsAAAA5AAAAEAAAAAAAAAABACAAAAAkAQAAZHJzL3No&#10;YXBleG1sLnhtbFBLBQYAAAAABgAGAFsBAADOAwAAAAA=&#10;">
                  <v:fill on="f" focussize="0,0"/>
                  <v:stroke weight="1pt" color="#000000" joinstyle="round" endarrow="block"/>
                  <v:imagedata o:title=""/>
                  <o:lock v:ext="edit" aspectratio="f"/>
                </v:shape>
                <v:group id="_x0000_s1026" o:spid="_x0000_s1026" o:spt="203" style="position:absolute;left:8580;top:861483;height:1110;width:1073;" coordorigin="8580,861483" coordsize="1073,1110" o:gfxdata="UEsFBgAAAAAAAAAAAAAAAAAAAAAAAFBLAwQKAAAAAACHTuJAAAAAAAAAAAAAAAAABAAAAGRycy9Q&#10;SwMEFAAAAAgAh07iQOuNsKG9AAAA2wAAAA8AAABkcnMvZG93bnJldi54bWxFj0GLwjAUhO8L/ofw&#10;hL2taV1cpRpFRMWDLFgF8fZonm2xeSlNbPXfG2Fhj8PMfMPMFg9TiZYaV1pWEA8iEMSZ1SXnCk7H&#10;zdcEhPPIGivLpOBJDhbz3scME207PlCb+lwECLsEFRTe14mULivIoBvYmjh4V9sY9EE2udQNdgFu&#10;KjmMoh9psOSwUGBNq4KyW3o3CrYddsvveN3ub9fV83Ic/Z73MSn12Y+jKQhPD/8f/mvvtILRGN5f&#10;wg+Q8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OuNsKG9AAAA2wAAAA8AAAAAAAAAAQAg&#10;AAAAOAAAAGRycy9kb3ducmV2LnhtbFBLAQIUABQAAAAIAIdO4kAzLwWeOwAAADkAAAAVAAAAAAAA&#10;AAEAIAAAACIBAABkcnMvZ3JvdXBzaGFwZXhtbC54bWxQSwUGAAAAAAYABgBgAQAA3wMAAAAA&#10;">
                  <o:lock v:ext="edit" aspectratio="f"/>
                  <v:shape id="_x0000_s1026" o:spid="_x0000_s1026" o:spt="32" type="#_x0000_t32" style="position:absolute;left:9125;top:861498;flip:y;height:5;width:528;" filled="f" stroked="t" coordsize="21600,21600" o:gfxdata="UEsFBgAAAAAAAAAAAAAAAAAAAAAAAFBLAwQKAAAAAACHTuJAAAAAAAAAAAAAAAAABAAAAGRycy9Q&#10;SwMEFAAAAAgAh07iQHVYBbTAAAAA3AAAAA8AAABkcnMvZG93bnJldi54bWxFj0FrAjEUhO8F/0N4&#10;gpelJtoiZTV6EERLoaC1BW+PzXOzuHlZN+mu/vumUOhxmJlvmMXq5mrRURsqzxomYwWCuPCm4lLD&#10;8WPz+AIiRGSDtWfScKcAq+XgYYG58T3vqTvEUiQIhxw12BibXMpQWHIYxr4hTt7Ztw5jkm0pTYt9&#10;grtaTpWaSYcVpwWLDa0tFZfDt9OgTp/Xt23VdTa7b7Pre/a6778arUfDiZqDiHSL/+G/9s5omD4/&#10;we+ZdATk8g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dVgFtMAAAADcAAAADwAAAAAAAAABACAAAAA4AAAAZHJzL2Rvd25y&#10;ZXYueG1sUEsBAhQAFAAAAAgAh07iQDMvBZ47AAAAOQAAABAAAAAAAAAAAQAgAAAAJQEAAGRycy9z&#10;aGFwZXhtbC54bWxQSwUGAAAAAAYABgBbAQAAzwMAAAAA&#10;">
                    <v:fill on="f" focussize="0,0"/>
                    <v:stroke weight="1pt" color="#000000" joinstyle="round" endarrow="block"/>
                    <v:imagedata o:title=""/>
                    <o:lock v:ext="edit" aspectratio="f"/>
                  </v:shape>
                  <v:line id="_x0000_s1026" o:spid="_x0000_s1026" o:spt="20" style="position:absolute;left:8580;top:862060;height:0;width:542;" filled="f" stroked="t" coordsize="21600,21600" o:gfxdata="UEsFBgAAAAAAAAAAAAAAAAAAAAAAAFBLAwQKAAAAAACHTuJAAAAAAAAAAAAAAAAABAAAAGRycy9Q&#10;SwMEFAAAAAgAh07iQDABt/a+AAAA3AAAAA8AAABkcnMvZG93bnJldi54bWxFj0FrwkAUhO8F/8Py&#10;hN7qxtBqiK4eLGIrvRgFr4/sMxvNvo3Zrdp/7xYEj8PMfMNM5zfbiAt1vnasYDhIQBCXTtdcKdht&#10;l28ZCB+QNTaOScEfeZjPei9TzLW78oYuRahEhLDPUYEJoc2l9KUhi37gWuLoHVxnMUTZVVJ3eI1w&#10;28g0SUbSYs1xwWBLC0Plqfi1CvBztQn7LF2P62/zc9wuzyuTnZV67Q+TCYhAt/AMP9pfWkH68Q7/&#10;Z+IRkLM7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ABt/a+AAAA3A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line>
                  <v:line id="_x0000_s1026" o:spid="_x0000_s1026" o:spt="20" style="position:absolute;left:9119;top:861483;height:1110;width:0;" filled="f" stroked="t" coordsize="21600,21600" o:gfxdata="UEsFBgAAAAAAAAAAAAAAAAAAAAAAAFBLAwQKAAAAAACHTuJAAAAAAAAAAAAAAAAABAAAAGRycy9Q&#10;SwMEFAAAAAgAh07iQK+fjBq+AAAA3AAAAA8AAABkcnMvZG93bnJldi54bWxFj82LwjAUxO8L/g/h&#10;CXtbUwvrlmr0oIi6ePEDvD6aZ1NtXmoTv/77jbDgcZiZ3zCjycPW4katrxwr6PcSEMSF0xWXCva7&#10;+VcGwgdkjbVjUvAkD5Nx52OEuXZ33tBtG0oRIexzVGBCaHIpfWHIou+5hjh6R9daDFG2pdQt3iPc&#10;1jJNkoG0WHFcMNjQ1FBx3l6tApwtNuGQpb8/1cqsT7v5ZWGyi1Kf3X4yBBHoEd7h//ZSK0i/B/A6&#10;E4+AHP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fjBq+AAAA3A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line>
                  <v:shape id="_x0000_s1026" o:spid="_x0000_s1026" o:spt="32" type="#_x0000_t32" style="position:absolute;left:9120;top:862054;flip:y;height:5;width:528;" filled="f" stroked="t" coordsize="21600,21600" o:gfxdata="UEsFBgAAAAAAAAAAAAAAAAAAAAAAAFBLAwQKAAAAAACHTuJAAAAAAAAAAAAAAAAABAAAAGRycy9Q&#10;SwMEFAAAAAgAh07iQJwcvkLAAAAA2wAAAA8AAABkcnMvZG93bnJldi54bWxFj81qwzAQhO+FvIPY&#10;QC6mlhJICG6UHAolLYVCflrobbG2lqm1cizVTt4+CgR6HGbmG2a1ObtG9NSF2rOGaa5AEJfe1Fxp&#10;OB5eHpcgQkQ22HgmDRcKsFmPHlZYGD/wjvp9rESCcChQg42xLaQMpSWHIfctcfJ+fOcwJtlV0nQ4&#10;JLhr5EyphXRYc1qw2NKzpfJ3/+c0qO/P0/u27nubXbbZ6SN72w1frdaT8VQ9gYh0jv/he/vVaJjP&#10;4fYl/QC5vgJ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nBy+QsAAAADbAAAADwAAAAAAAAABACAAAAA4AAAAZHJzL2Rvd25y&#10;ZXYueG1sUEsBAhQAFAAAAAgAh07iQDMvBZ47AAAAOQAAABAAAAAAAAAAAQAgAAAAJQEAAGRycy9z&#10;aGFwZXhtbC54bWxQSwUGAAAAAAYABgBbAQAAzwMAAAAA&#10;">
                    <v:fill on="f" focussize="0,0"/>
                    <v:stroke weight="1pt" color="#000000" joinstyle="round" endarrow="block"/>
                    <v:imagedata o:title=""/>
                    <o:lock v:ext="edit" aspectratio="f"/>
                  </v:shape>
                  <v:shape id="_x0000_s1026" o:spid="_x0000_s1026" o:spt="32" type="#_x0000_t32" style="position:absolute;left:9120;top:862585;flip:y;height:5;width:528;" filled="f" stroked="t" coordsize="21600,21600" o:gfxdata="UEsFBgAAAAAAAAAAAAAAAAAAAAAAAFBLAwQKAAAAAACHTuJAAAAAAAAAAAAAAAAABAAAAGRycy9Q&#10;SwMEFAAAAAgAh07iQGzOIDW/AAAA2wAAAA8AAABkcnMvZG93bnJldi54bWxFj09rAjEUxO+C3yE8&#10;oZdFEwsVWY0eCsWWQsE/LXh7bJ6bpZuXdZPu6rdvBMHjMDO/YZbri6tFR22oPGuYThQI4sKbiksN&#10;h/3beA4iRGSDtWfScKUA69VwsMTc+J631O1iKRKEQ44abIxNLmUoLDkME98QJ+/kW4cxybaUpsU+&#10;wV0tn5WaSYcVpwWLDb1aKn53f06DOn6fPzdV19nsusnOX9nHtv9ptH4aTdUCRKRLfITv7Xej4WUG&#10;ty/pB8jVP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sziA1vwAAANsAAAAPAAAAAAAAAAEAIAAAADgAAABkcnMvZG93bnJl&#10;di54bWxQSwECFAAUAAAACACHTuJAMy8FnjsAAAA5AAAAEAAAAAAAAAABACAAAAAkAQAAZHJzL3No&#10;YXBleG1sLnhtbFBLBQYAAAAABgAGAFsBAADOAwAAAAA=&#10;">
                    <v:fill on="f" focussize="0,0"/>
                    <v:stroke weight="1pt" color="#000000" joinstyle="round" endarrow="block"/>
                    <v:imagedata o:title=""/>
                    <o:lock v:ext="edit" aspectratio="f"/>
                  </v:shape>
                </v:group>
                <v:group id="_x0000_s1026" o:spid="_x0000_s1026" o:spt="203" style="position:absolute;left:8575;top:863205;height:1110;width:1073;" coordorigin="8580,861483" coordsize="1073,1110" o:gfxdata="UEsFBgAAAAAAAAAAAAAAAAAAAAAAAFBLAwQKAAAAAACHTuJAAAAAAAAAAAAAAAAABAAAAGRycy9Q&#10;SwMEFAAAAAgAh07iQJoSJNO6AAAA2wAAAA8AAABkcnMvZG93bnJldi54bWxFT02LwjAQvS/4H8II&#10;3ta0istSTUVExYMIqwvibWjGtrSZlCa2+u/NQfD4eN+L5cPUoqPWlZYVxOMIBHFmdcm5gv/z9vsX&#10;hPPIGmvLpOBJDpbp4GuBibY9/1F38rkIIewSVFB43yRSuqwgg25sG+LA3Wxr0AfY5lK32IdwU8tJ&#10;FP1IgyWHhgIbWheUVae7UbDrsV9N4013qG7r5/U8O14OMSk1GsbRHISnh/+I3+69VjALY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JoSJNO6AAAA2wAAAA8AAAAAAAAAAQAgAAAA&#10;OAAAAGRycy9kb3ducmV2LnhtbFBLAQIUABQAAAAIAIdO4kAzLwWeOwAAADkAAAAVAAAAAAAAAAEA&#10;IAAAAB8BAABkcnMvZ3JvdXBzaGFwZXhtbC54bWxQSwUGAAAAAAYABgBgAQAA3AMAAAAA&#10;">
                  <o:lock v:ext="edit" aspectratio="f"/>
                  <v:shape id="_x0000_s1026" o:spid="_x0000_s1026" o:spt="32" type="#_x0000_t32" style="position:absolute;left:9125;top:861498;flip:y;height:5;width:528;" filled="f" stroked="t" coordsize="21600,21600" o:gfxdata="UEsFBgAAAAAAAAAAAAAAAAAAAAAAAFBLAwQKAAAAAACHTuJAAAAAAAAAAAAAAAAABAAAAGRycy9Q&#10;SwMEFAAAAAgAh07iQB1RtEe/AAAA2wAAAA8AAABkcnMvZG93bnJldi54bWxFj0FrAjEUhO8F/0N4&#10;Qi9LTSy0tFujB6HYUhC0Knh7bF43i5uXdZPu6r83guBxmJlvmMns5GrRURsqzxrGIwWCuPCm4lLD&#10;5vfz6Q1EiMgGa8+k4UwBZtPBwwRz43teUbeOpUgQDjlqsDE2uZShsOQwjHxDnLw/3zqMSbalNC32&#10;Ce5q+azUq3RYcVqw2NDcUnFY/zsNar89/iyqrrPZeZEdl9n3qt81Wj8Ox+oDRKRTvIdv7S+j4eUd&#10;rl/SD5DTC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dUbRHvwAAANsAAAAPAAAAAAAAAAEAIAAAADgAAABkcnMvZG93bnJl&#10;di54bWxQSwECFAAUAAAACACHTuJAMy8FnjsAAAA5AAAAEAAAAAAAAAABACAAAAAkAQAAZHJzL3No&#10;YXBleG1sLnhtbFBLBQYAAAAABgAGAFsBAADOAwAAAAA=&#10;">
                    <v:fill on="f" focussize="0,0"/>
                    <v:stroke weight="1pt" color="#000000" joinstyle="round" endarrow="block"/>
                    <v:imagedata o:title=""/>
                    <o:lock v:ext="edit" aspectratio="f"/>
                  </v:shape>
                  <v:line id="_x0000_s1026" o:spid="_x0000_s1026" o:spt="20" style="position:absolute;left:8580;top:862060;height:0;width:542;" filled="f" stroked="t" coordsize="21600,21600" o:gfxdata="UEsFBgAAAAAAAAAAAAAAAAAAAAAAAFBLAwQKAAAAAACHTuJAAAAAAAAAAAAAAAAABAAAAGRycy9Q&#10;SwMEFAAAAAgAh07iQId3iNW4AAAA2wAAAA8AAABkcnMvZG93bnJldi54bWxFT8uqwjAQ3Qv+QxjB&#10;naa60FKNLhTRK258gNuhGZtqM6lNro+/NwvB5eG8p/OXrcSDGl86VjDoJyCIc6dLLhScjqteCsIH&#10;ZI2VY1LwJg/zWbs1xUy7J+/pcQiFiCHsM1RgQqgzKX1uyKLvu5o4chfXWAwRNoXUDT5juK3kMElG&#10;0mLJscFgTQtD+e3wbxXgcr0P53S4HZd/Znc9ru5rk96V6nYGyQREoFf4ib/ujVYwiuvjl/gD5OwD&#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Id3iNW4AAAA2wAAAA8AAAAAAAAAAQAgAAAAOAAAAGRycy9kb3ducmV2LnhtbFBL&#10;AQIUABQAAAAIAIdO4kAzLwWeOwAAADkAAAAQAAAAAAAAAAEAIAAAAB0BAABkcnMvc2hhcGV4bWwu&#10;eG1sUEsFBgAAAAAGAAYAWwEAAMcDAAAAAA==&#10;">
                    <v:fill on="f" focussize="0,0"/>
                    <v:stroke weight="1pt" color="#000000" joinstyle="round"/>
                    <v:imagedata o:title=""/>
                    <o:lock v:ext="edit" aspectratio="f"/>
                  </v:line>
                  <v:line id="_x0000_s1026" o:spid="_x0000_s1026" o:spt="20" style="position:absolute;left:9119;top:861483;height:1110;width:0;" filled="f" stroked="t" coordsize="21600,21600" o:gfxdata="UEsFBgAAAAAAAAAAAAAAAAAAAAAAAFBLAwQKAAAAAACHTuJAAAAAAAAAAAAAAAAABAAAAGRycy9Q&#10;SwMEFAAAAAgAh07iQOg7LU68AAAA2wAAAA8AAABkcnMvZG93bnJldi54bWxFj0uLwkAQhO8L/oeh&#10;BW/rJB7cEB09KOKDvfgAr02mzUQzPTEzvv79zoLgsaiqr6jx9GlrcafWV44VpP0EBHHhdMWlgsN+&#10;8Z2B8AFZY+2YFLzIw3TS+Rpjrt2Dt3TfhVJECPscFZgQmlxKXxiy6PuuIY7eybUWQ5RtKXWLjwi3&#10;tRwkyVBarDguGGxoZqi47G5WAc6X23DMBpufam1+z/vFdWmyq1K9bpqMQAR6hk/43V5pBcMU/r/E&#10;HyAn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oOy1OvAAAANs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shape id="_x0000_s1026" o:spid="_x0000_s1026" o:spt="32" type="#_x0000_t32" style="position:absolute;left:9120;top:862054;flip:y;height:5;width:528;" filled="f" stroked="t" coordsize="21600,21600" o:gfxdata="UEsFBgAAAAAAAAAAAAAAAAAAAAAAAFBLAwQKAAAAAACHTuJAAAAAAAAAAAAAAAAABAAAAGRycy9Q&#10;SwMEFAAAAAgAh07iQN2Z7Iu+AAAA2wAAAA8AAABkcnMvZG93bnJldi54bWxFj09rAjEUxO9Cv0N4&#10;hV4WTfQgsjV6EIqVQsG/0Ntj89wsbl7WTdzVb98UCh6HmfkNM1/eXS06akPlWcN4pEAQF95UXGo4&#10;7D+GMxAhIhusPZOGBwVYLl4Gc8yN73lL3S6WIkE45KjBxtjkUobCksMw8g1x8s6+dRiTbEtpWuwT&#10;3NVyotRUOqw4LVhsaGWpuOxuToP6OV6/1lXX2eyxzq7f2Wbbnxqt317H6h1EpHt8hv/bn0bDdAJ/&#10;X9IPkI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2Z7Iu+AAAA2wAAAA8AAAAAAAAAAQAgAAAAOAAAAGRycy9kb3ducmV2&#10;LnhtbFBLAQIUABQAAAAIAIdO4kAzLwWeOwAAADkAAAAQAAAAAAAAAAEAIAAAACMBAABkcnMvc2hh&#10;cGV4bWwueG1sUEsFBgAAAAAGAAYAWwEAAM0DAAAAAA==&#10;">
                    <v:fill on="f" focussize="0,0"/>
                    <v:stroke weight="1pt" color="#000000" joinstyle="round" endarrow="block"/>
                    <v:imagedata o:title=""/>
                    <o:lock v:ext="edit" aspectratio="f"/>
                  </v:shape>
                  <v:shape id="_x0000_s1026" o:spid="_x0000_s1026" o:spt="32" type="#_x0000_t32" style="position:absolute;left:9120;top:862585;flip:y;height:5;width:528;" filled="f" stroked="t" coordsize="21600,21600" o:gfxdata="UEsFBgAAAAAAAAAAAAAAAAAAAAAAAFBLAwQKAAAAAACHTuJAAAAAAAAAAAAAAAAABAAAAGRycy9Q&#10;SwMEFAAAAAgAh07iQLLVSRC/AAAA2wAAAA8AAABkcnMvZG93bnJldi54bWxFj09rAjEUxO+C3yE8&#10;oZdFE1sQWY0eCsWWQsE/LXh7bJ6bpZuXdZPu6rdvBMHjMDO/YZbri6tFR22oPGuYThQI4sKbiksN&#10;h/3beA4iRGSDtWfScKUA69VwsMTc+J631O1iKRKEQ44abIxNLmUoLDkME98QJ+/kW4cxybaUpsU+&#10;wV0tn5WaSYcVpwWLDb1aKn53f06DOn6fPzdV19nsusnOX9nHtv9ptH4aTdUCRKRLfITv7XejYfYC&#10;ty/pB8jVP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y1UkQvwAAANsAAAAPAAAAAAAAAAEAIAAAADgAAABkcnMvZG93bnJl&#10;di54bWxQSwECFAAUAAAACACHTuJAMy8FnjsAAAA5AAAAEAAAAAAAAAABACAAAAAkAQAAZHJzL3No&#10;YXBleG1sLnhtbFBLBQYAAAAABgAGAFsBAADOAwAAAAA=&#10;">
                    <v:fill on="f" focussize="0,0"/>
                    <v:stroke weight="1pt" color="#000000" joinstyle="round" endarrow="block"/>
                    <v:imagedata o:title=""/>
                    <o:lock v:ext="edit" aspectratio="f"/>
                  </v:shape>
                </v:group>
                <v:group id="_x0000_s1026" o:spid="_x0000_s1026" o:spt="203" style="position:absolute;left:9627;top:861252;height:1615;width:3258;" coordorigin="9627,861252" coordsize="3258,1615" o:gfxdata="UEsFBgAAAAAAAAAAAAAAAAAAAAAAAFBLAwQKAAAAAACHTuJAAAAAAAAAAAAAAAAABAAAAGRycy9Q&#10;SwMEFAAAAAgAh07iQN8D6sK9AAAA2wAAAA8AAABkcnMvZG93bnJldi54bWxFj0GLwjAUhO+C/yE8&#10;wduaVtldqUYRUdmDLGwVxNujebbF5qU0sdV/b4QFj8PMfMPMl3dTiZYaV1pWEI8iEMSZ1SXnCo6H&#10;7ccUhPPIGivLpOBBDpaLfm+OibYd/1Gb+lwECLsEFRTe14mULivIoBvZmjh4F9sY9EE2udQNdgFu&#10;KjmOoi9psOSwUGBN64Kya3ozCnYddqtJvGn318v6cT58/p72MSk1HMTRDISnu3+H/9s/WsH3BF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N8D6sK9AAAA2wAAAA8AAAAAAAAAAQAg&#10;AAAAOAAAAGRycy9kb3ducmV2LnhtbFBLAQIUABQAAAAIAIdO4kAzLwWeOwAAADkAAAAVAAAAAAAA&#10;AAEAIAAAACIBAABkcnMvZ3JvdXBzaGFwZXhtbC54bWxQSwUGAAAAAAYABgBgAQAA3wMAAAAA&#10;">
                  <o:lock v:ext="edit" aspectratio="f"/>
                  <v:group id="_x0000_s1026" o:spid="_x0000_s1026" o:spt="203" style="position:absolute;left:9633;top:861252;height:513;width:3252;" coordorigin="6690,860561" coordsize="2255,522" o:gfxdata="UEsFBgAAAAAAAAAAAAAAAAAAAAAAAFBLAwQKAAAAAACHTuJAAAAAAAAAAAAAAAAABAAAAGRycy9Q&#10;SwMEFAAAAAgAh07iQNUz5Gu9AAAA2wAAAA8AAABkcnMvZG93bnJldi54bWxFj0+LwjAUxO+C3yE8&#10;wZumXf8g1Sgiq3gQYVUQb4/m2Rabl9LEVr+9WVjY4zAzv2EWq5cpRUO1KywriIcRCOLU6oIzBZfz&#10;djAD4TyyxtIyKXiTg9Wy21lgom3LP9ScfCYChF2CCnLvq0RKl+Zk0A1tRRy8u60N+iDrTOoa2wA3&#10;pfyKoqk0WHBYyLGiTU7p4/Q0CnYttutR/N0cHvfN+3aeHK+HmJTq9+JoDsLTy/+H/9p7rWA6ht8v&#10;4QfI5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NUz5Gu9AAAA2wAAAA8AAAAAAAAAAQAg&#10;AAAAOAAAAGRycy9kb3ducmV2LnhtbFBLAQIUABQAAAAIAIdO4kAzLwWeOwAAADkAAAAVAAAAAAAA&#10;AAEAIAAAACIBAABkcnMvZ3JvdXBzaGFwZXhtbC54bWxQSwUGAAAAAAYABgBgAQAA3wMAAAAA&#10;">
                    <o:lock v:ext="edit" aspectratio="f"/>
                    <v:rect id="_x0000_s1026" o:spid="_x0000_s1026" o:spt="1" style="position:absolute;left:6709;top:860561;height:522;width:2236;v-text-anchor:middle;" filled="f" stroked="t" coordsize="21600,21600" o:gfxdata="UEsFBgAAAAAAAAAAAAAAAAAAAAAAAFBLAwQKAAAAAACHTuJAAAAAAAAAAAAAAAAABAAAAGRycy9Q&#10;SwMEFAAAAAgAh07iQIGjtlO8AAAA2wAAAA8AAABkcnMvZG93bnJldi54bWxFj92KwjAUhO8F3yEc&#10;wTtNu7Ci1SgqCrp4488DHJtjW21OShO1vv1GELwcZuYbZjJrTCkeVLvCsoK4H4EgTq0uOFNwOq57&#10;QxDOI2ssLZOCFzmYTdutCSbaPnlPj4PPRICwS1BB7n2VSOnSnAy6vq2Ig3extUEfZJ1JXeMzwE0p&#10;f6JoIA0WHBZyrGiZU3o73I0CuVjt7n/n7cjNV00xul7iJvVrpbqdOBqD8NT4b/jT3mgFg194fwk/&#10;QE7/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Bo7ZTvAAAANsAAAAPAAAAAAAAAAEAIAAAADgAAABkcnMvZG93bnJldi54&#10;bWxQSwECFAAUAAAACACHTuJAMy8FnjsAAAA5AAAAEAAAAAAAAAABACAAAAAhAQAAZHJzL3NoYXBl&#10;eG1sLnhtbFBLBQYAAAAABgAGAFsBAADLAwAAAAA=&#10;">
                      <v:fill on="f" focussize="0,0"/>
                      <v:stroke weight="1pt" color="#000000" joinstyle="round" endarrow="block"/>
                      <v:imagedata o:title=""/>
                      <o:lock v:ext="edit" aspectratio="f"/>
                    </v:rect>
                    <v:shape id="_x0000_s1026" o:spid="_x0000_s1026" o:spt="202" type="#_x0000_t202" style="position:absolute;left:6690;top:860601;height:429;width:2219;" filled="f" stroked="f" coordsize="21600,21600" o:gfxdata="UEsFBgAAAAAAAAAAAAAAAAAAAAAAAFBLAwQKAAAAAACHTuJAAAAAAAAAAAAAAAAABAAAAGRycy9Q&#10;SwMEFAAAAAgAh07iQLbkwTq6AAAA2wAAAA8AAABkcnMvZG93bnJldi54bWxFj80KwjAQhO+C7xBW&#10;8CKa6qFINXqoCCJe/Ll4W5q1LW02tYlV394IgsdhZr5hluuXqUVHrSstK5hOIhDEmdUl5wou5+14&#10;DsJ5ZI21ZVLwJgfrVb+3xETbJx+pO/lcBAi7BBUU3jeJlC4ryKCb2IY4eDfbGvRBtrnULT4D3NRy&#10;FkWxNFhyWCiwobSgrDo9jIKzrN7ztNrnG1kfHtUovW/L612p4WAaLUB4evl/+NfeaQVxDN8v4QfI&#10;1Q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uTBOroAAADbAAAADwAAAAAAAAABACAAAAA4AAAAZHJzL2Rvd25yZXYueG1s&#10;UEsBAhQAFAAAAAgAh07iQDMvBZ47AAAAOQAAABAAAAAAAAAAAQAgAAAAHwEAAGRycy9zaGFwZXht&#10;bC54bWxQSwUGAAAAAAYABgBbAQAAyQMAAAAA&#10;">
                      <v:fill on="f" focussize="0,0"/>
                      <v:stroke on="f"/>
                      <v:imagedata o:title=""/>
                      <o:lock v:ext="edit" aspectratio="f"/>
                      <v:textbox inset="2.54mm,1mm,2.54mm,1.27mm">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南京交通运输综合应急指挥中心</w:t>
                            </w:r>
                          </w:p>
                        </w:txbxContent>
                      </v:textbox>
                    </v:shape>
                  </v:group>
                  <v:group id="_x0000_s1026" o:spid="_x0000_s1026" o:spt="203" style="position:absolute;left:9627;top:861808;height:513;width:3252;" coordorigin="6690,860561" coordsize="2255,522" o:gfxdata="UEsFBgAAAAAAAAAAAAAAAAAAAAAAAFBLAwQKAAAAAACHTuJAAAAAAAAAAAAAAAAABAAAAGRycy9Q&#10;SwMEFAAAAAgAh07iQCXhehy/AAAA2wAAAA8AAABkcnMvZG93bnJldi54bWxFj0FrwkAUhO9C/8Py&#10;Ct6aTZTakrqGElQ8SKFJofT2yD6TYPZtyK6J/vtuoeBxmJlvmHV2NZ0YaXCtZQVJFIMgrqxuuVbw&#10;Ve6eXkE4j6yxs0wKbuQg2zzM1phqO/EnjYWvRYCwS1FB432fSumqhgy6yPbEwTvZwaAPcqilHnAK&#10;cNPJRRyvpMGWw0KDPeUNVefiYhTsJ5zel8l2PJ5P+e2nfP74Piak1Pwxid9AeLr6e/i/fdAKVi/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JeF6HL8AAADbAAAADwAAAAAAAAAB&#10;ACAAAAA4AAAAZHJzL2Rvd25yZXYueG1sUEsBAhQAFAAAAAgAh07iQDMvBZ47AAAAOQAAABUAAAAA&#10;AAAAAQAgAAAAJAEAAGRycy9ncm91cHNoYXBleG1sLnhtbFBLBQYAAAAABgAGAGABAADhAwAAAAA=&#10;">
                    <o:lock v:ext="edit" aspectratio="f"/>
                    <v:rect id="_x0000_s1026" o:spid="_x0000_s1026" o:spt="1" style="position:absolute;left:6709;top:860561;height:522;width:2236;v-text-anchor:middle;" filled="f" stroked="t" coordsize="21600,21600" o:gfxdata="UEsFBgAAAAAAAAAAAAAAAAAAAAAAAFBLAwQKAAAAAACHTuJAAAAAAAAAAAAAAAAABAAAAGRycy9Q&#10;SwMEFAAAAAgAh07iQG+iGc22AAAA2wAAAA8AAABkcnMvZG93bnJldi54bWxFT8sOwUAU3Uv8w+RK&#10;7JjWQihDEBLExuMDrs7Vls6dpjOovzcLieXJeU/njSnFi2pXWFYQ9yMQxKnVBWcKLudNbwTCeWSN&#10;pWVS8CEH81m7NcVE2zcf6XXymQgh7BJUkHtfJVK6NCeDrm8r4sDdbG3QB1hnUtf4DuGmlIMoGkqD&#10;BYeGHCta5ZQ+Tk+jQC7Xh+f+uhu7xbopxvdb3KR+o1S3E0cTEJ4a/xf/3FutYBjGhi/hB8jZF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BvohnNtgAAANsAAAAPAAAAAAAAAAEAIAAAADgAAABkcnMvZG93bnJldi54bWxQSwEC&#10;FAAUAAAACACHTuJAMy8FnjsAAAA5AAAAEAAAAAAAAAABACAAAAAbAQAAZHJzL3NoYXBleG1sLnht&#10;bFBLBQYAAAAABgAGAFsBAADFAwAAAAA=&#10;">
                      <v:fill on="f" focussize="0,0"/>
                      <v:stroke weight="1pt" color="#000000" joinstyle="round" endarrow="block"/>
                      <v:imagedata o:title=""/>
                      <o:lock v:ext="edit" aspectratio="f"/>
                    </v:rect>
                    <v:shape id="_x0000_s1026" o:spid="_x0000_s1026" o:spt="202" type="#_x0000_t202" style="position:absolute;left:6690;top:860601;height:429;width:2219;" filled="f" stroked="f" coordsize="21600,21600" o:gfxdata="UEsFBgAAAAAAAAAAAAAAAAAAAAAAAFBLAwQKAAAAAACHTuJAAAAAAAAAAAAAAAAABAAAAGRycy9Q&#10;SwMEFAAAAAgAh07iQMd7VUi6AAAA2wAAAA8AAABkcnMvZG93bnJldi54bWxFj0sLwjAQhO+C/yGs&#10;4EU01YNobfRQEUS8+Lh4W5q1LW02tYmvf28EweMwM98wyeplavGg1pWWFYxHEQjizOqScwXn02Y4&#10;A+E8ssbaMil4k4PVsttJMNb2yQd6HH0uAoRdjAoK75tYSpcVZNCNbEMcvKttDfog21zqFp8Bbmo5&#10;iaKpNFhyWCiwobSgrDrejYKTrN6ztNrla1nv79UgvW3Ky02pfm8cLUB4evl/+NfeagXTOXy/hB8g&#10;lx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3tVSLoAAADbAAAADwAAAAAAAAABACAAAAA4AAAAZHJzL2Rvd25yZXYueG1s&#10;UEsBAhQAFAAAAAgAh07iQDMvBZ47AAAAOQAAABAAAAAAAAAAAQAgAAAAHwEAAGRycy9zaGFwZXht&#10;bC54bWxQSwUGAAAAAAYABgBbAQAAyQMAAAAA&#10;">
                      <v:fill on="f" focussize="0,0"/>
                      <v:stroke on="f"/>
                      <v:imagedata o:title=""/>
                      <o:lock v:ext="edit" aspectratio="f"/>
                      <v:textbox inset="2.54mm,1mm,2.54mm,1.27mm">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市交通运输综合行政执法监督局</w:t>
                            </w:r>
                          </w:p>
                        </w:txbxContent>
                      </v:textbox>
                    </v:shape>
                  </v:group>
                  <v:group id="_x0000_s1026" o:spid="_x0000_s1026" o:spt="203" style="position:absolute;left:9632;top:862355;height:513;width:3252;" coordorigin="6690,860561" coordsize="2255,522" o:gfxdata="UEsFBgAAAAAAAAAAAAAAAAAAAAAAAFBLAwQKAAAAAACHTuJAAAAAAAAAAAAAAAAABAAAAGRycy9Q&#10;SwMEFAAAAAgAh07iQC/RdLW7AAAA2wAAAA8AAABkcnMvZG93bnJldi54bWxFT8uKwjAU3Q/4D+EK&#10;sxvTOoxKNRURHWYhgg8Qd5fm9oHNTWliq38/WQguD+e9WD5MLTpqXWVZQTyKQBBnVldcKDiftl8z&#10;EM4ja6wtk4InOVimg48FJtr2fKDu6AsRQtglqKD0vkmkdFlJBt3INsSBy21r0AfYFlK32IdwU8tx&#10;FE2kwYpDQ4kNrUvKbse7UfDbY7/6jjfd7pavn9fTz/6yi0mpz2EczUF4evi3+OX+0wqmYX3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v0XS1uwAAANsAAAAPAAAAAAAAAAEAIAAA&#10;ADgAAABkcnMvZG93bnJldi54bWxQSwECFAAUAAAACACHTuJAMy8FnjsAAAA5AAAAFQAAAAAAAAAB&#10;ACAAAAAgAQAAZHJzL2dyb3Vwc2hhcGV4bWwueG1sUEsFBgAAAAAGAAYAYAEAAN0DAAAAAA==&#10;">
                    <o:lock v:ext="edit" aspectratio="f"/>
                    <v:rect id="_x0000_s1026" o:spid="_x0000_s1026" o:spt="1" style="position:absolute;left:6709;top:860561;height:522;width:2236;v-text-anchor:middle;" filled="f" stroked="t" coordsize="21600,21600" o:gfxdata="UEsFBgAAAAAAAAAAAAAAAAAAAAAAAFBLAwQKAAAAAACHTuJAAAAAAAAAAAAAAAAABAAAAGRycy9Q&#10;SwMEFAAAAAgAh07iQHtBJo27AAAA2wAAAA8AAABkcnMvZG93bnJldi54bWxFj1GvwUAUhN8l/sPm&#10;SLyxrQeusgQhQe7LxQ84ukdbumeb7qL+vZVI7uNkZr7JTOeNKcWDaldYVhD3IxDEqdUFZwpOx03v&#10;B4TzyBpLy6TgRQ7ms3Zriom2T/6jx8FnIkDYJagg975KpHRpTgZd31bEwbvY2qAPss6krvEZ4KaU&#10;gygaSoMFh4UcK1rllN4Od6NALte/9/15N3aLdVOMr5e4Sf1GqW4njiYgPDX+P/xtb7WCUQyfL+EH&#10;yNk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tBJo27AAAA2wAAAA8AAAAAAAAAAQAgAAAAOAAAAGRycy9kb3ducmV2Lnht&#10;bFBLAQIUABQAAAAIAIdO4kAzLwWeOwAAADkAAAAQAAAAAAAAAAEAIAAAACABAABkcnMvc2hhcGV4&#10;bWwueG1sUEsFBgAAAAAGAAYAWwEAAMoDAAAAAA==&#10;">
                      <v:fill on="f" focussize="0,0"/>
                      <v:stroke weight="1pt" color="#000000" joinstyle="round" endarrow="block"/>
                      <v:imagedata o:title=""/>
                      <o:lock v:ext="edit" aspectratio="f"/>
                    </v:rect>
                    <v:shape id="_x0000_s1026" o:spid="_x0000_s1026" o:spt="202" type="#_x0000_t202" style="position:absolute;left:6690;top:860601;height:429;width:2219;" filled="f" stroked="f" coordsize="21600,21600" o:gfxdata="UEsFBgAAAAAAAAAAAAAAAAAAAAAAAFBLAwQKAAAAAACHTuJAAAAAAAAAAAAAAAAABAAAAGRycy9Q&#10;SwMEFAAAAAgAh07iQEwGUeS6AAAA2wAAAA8AAABkcnMvZG93bnJldi54bWxFj0sLwjAQhO+C/yGs&#10;4EU01YOWavRQEUS8+Lh4W5q1LW02tYmvf28EweMwM98wi9XL1OJBrSstKxiPIhDEmdUl5wrOp80w&#10;BuE8ssbaMil4k4PVsttZYKLtkw/0OPpcBAi7BBUU3jeJlC4ryKAb2YY4eFfbGvRBtrnULT4D3NRy&#10;EkVTabDksFBgQ2lBWXW8GwUnWb3jtNrla1nv79UgvW3Ky02pfm8czUF4evl/+NfeagWzCXy/hB8g&#10;lx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AZR5LoAAADbAAAADwAAAAAAAAABACAAAAA4AAAAZHJzL2Rvd25yZXYueG1s&#10;UEsBAhQAFAAAAAgAh07iQDMvBZ47AAAAOQAAABAAAAAAAAAAAQAgAAAAHwEAAGRycy9zaGFwZXht&#10;bC54bWxQSwUGAAAAAAYABgBbAQAAyQMAAAAA&#10;">
                      <v:fill on="f" focussize="0,0"/>
                      <v:stroke on="f"/>
                      <v:imagedata o:title=""/>
                      <o:lock v:ext="edit" aspectratio="f"/>
                      <v:textbox inset="2.54mm,1mm,2.54mm,1.27mm">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市沿江港口应急物资公共储备库</w:t>
                            </w:r>
                          </w:p>
                        </w:txbxContent>
                      </v:textbox>
                    </v:shape>
                  </v:group>
                </v:group>
                <v:group id="_x0000_s1026" o:spid="_x0000_s1026" o:spt="203" style="position:absolute;left:9602;top:862972;height:1616;width:3267;" coordorigin="9627,861252" coordsize="3267,1616" o:gfxdata="UEsFBgAAAAAAAAAAAAAAAAAAAAAAAFBLAwQKAAAAAACHTuJAAAAAAAAAAAAAAAAABAAAAGRycy9Q&#10;SwMEFAAAAAgAh07iQFDqcra/AAAA2wAAAA8AAABkcnMvZG93bnJldi54bWxFj81qwzAQhO+FvIPY&#10;Qm6N7Py0xY1sQkhCD6bQpFB6W6yNbWKtjKXY8dtXgUKPw8x8w6yzm2lET52rLSuIZxEI4sLqmksF&#10;X6f90ysI55E1NpZJwUgOsnTysMZE24E/qT/6UgQIuwQVVN63iZSuqMigm9mWOHhn2xn0QXal1B0O&#10;AW4aOY+iZ2mw5rBQYUvbiorL8WoUHAYcNot41+eX83b8Oa0+vvOYlJo+xtEbCE83/x/+a79rBS9L&#10;uH8JP0Cmv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UOpytr8AAADbAAAADwAAAAAAAAAB&#10;ACAAAAA4AAAAZHJzL2Rvd25yZXYueG1sUEsBAhQAFAAAAAgAh07iQDMvBZ47AAAAOQAAABUAAAAA&#10;AAAAAQAgAAAAJAEAAGRycy9ncm91cHNoYXBleG1sLnhtbFBLBQYAAAAABgAGAGABAADhAwAAAAA=&#10;">
                  <o:lock v:ext="edit" aspectratio="f"/>
                  <v:group id="_x0000_s1026" o:spid="_x0000_s1026" o:spt="203" style="position:absolute;left:9633;top:861252;height:513;width:3261;" coordorigin="6690,860561" coordsize="2261,522" o:gfxdata="UEsFBgAAAAAAAAAAAAAAAAAAAAAAAFBLAwQKAAAAAACHTuJAAAAAAAAAAAAAAAAABAAAAGRycy9Q&#10;SwMEFAAAAAgAh07iQD+m1y29AAAA2wAAAA8AAABkcnMvZG93bnJldi54bWxFj0GLwjAUhO8L/ofw&#10;hL2taV1cpRpFRMWDLFgF8fZonm2xeSlNbPXfG2Fhj8PMfMPMFg9TiZYaV1pWEA8iEMSZ1SXnCk7H&#10;zdcEhPPIGivLpOBJDhbz3scME207PlCb+lwECLsEFRTe14mULivIoBvYmjh4V9sY9EE2udQNdgFu&#10;KjmMoh9psOSwUGBNq4KyW3o3CrYddsvveN3ub9fV83Ic/Z73MSn12Y+jKQhPD/8f/mvvtILxCN5f&#10;wg+Q8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D+m1y29AAAA2wAAAA8AAAAAAAAAAQAg&#10;AAAAOAAAAGRycy9kb3ducmV2LnhtbFBLAQIUABQAAAAIAIdO4kAzLwWeOwAAADkAAAAVAAAAAAAA&#10;AAEAIAAAACIBAABkcnMvZ3JvdXBzaGFwZXhtbC54bWxQSwUGAAAAAAYABgBgAQAA3wMAAAAA&#10;">
                    <o:lock v:ext="edit" aspectratio="f"/>
                    <v:rect id="_x0000_s1026" o:spid="_x0000_s1026" o:spt="1" style="position:absolute;left:6709;top:860561;height:522;width:2236;v-text-anchor:middle;" filled="f" stroked="t" coordsize="21600,21600" o:gfxdata="UEsFBgAAAAAAAAAAAAAAAAAAAAAAAFBLAwQKAAAAAACHTuJAAAAAAAAAAAAAAAAABAAAAGRycy9Q&#10;SwMEFAAAAAgAh07iQPSovvm+AAAA2wAAAA8AAABkcnMvZG93bnJldi54bWxFj8FuwjAQRO9I/IO1&#10;SL0RJz1ACThRW4FUql4I/YBtvCSh8TqKTZL+fV2pEsfRzLzR7PLJtGKg3jWWFSRRDIK4tLrhSsHn&#10;+bB8AuE8ssbWMin4IQd5Np/tMNV25BMNha9EgLBLUUHtfZdK6cqaDLrIdsTBu9jeoA+yr6TucQxw&#10;08rHOF5Jgw2HhRo7eq2p/C5uRoF82X/c3r+OG/e8n5rN9ZJMpT8o9bBI4i0IT5O/h//bb1rBegV/&#10;X8IPkNk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Sovvm+AAAA2wAAAA8AAAAAAAAAAQAgAAAAOAAAAGRycy9kb3ducmV2&#10;LnhtbFBLAQIUABQAAAAIAIdO4kAzLwWeOwAAADkAAAAQAAAAAAAAAAEAIAAAACMBAABkcnMvc2hh&#10;cGV4bWwueG1sUEsFBgAAAAAGAAYAWwEAAM0DAAAAAA==&#10;">
                      <v:fill on="f" focussize="0,0"/>
                      <v:stroke weight="1pt" color="#000000" joinstyle="round" endarrow="block"/>
                      <v:imagedata o:title=""/>
                      <o:lock v:ext="edit" aspectratio="f"/>
                    </v:rect>
                    <v:shape id="_x0000_s1026" o:spid="_x0000_s1026" o:spt="202" type="#_x0000_t202" style="position:absolute;left:6690;top:860601;height:429;width:2261;" filled="f" stroked="f" coordsize="21600,21600" o:gfxdata="UEsFBgAAAAAAAAAAAAAAAAAAAAAAAFBLAwQKAAAAAACHTuJAAAAAAAAAAAAAAAAABAAAAGRycy9Q&#10;SwMEFAAAAAgAh07iQFxx8ny6AAAA2wAAAA8AAABkcnMvZG93bnJldi54bWxFj0sLwjAQhO+C/yGs&#10;4EU01YOWavRQEUS8+Lh4W5q1LW02tYmvf28EweMwM98wi9XL1OJBrSstKxiPIhDEmdUl5wrOp80w&#10;BuE8ssbaMil4k4PVsttZYKLtkw/0OPpcBAi7BBUU3jeJlC4ryKAb2YY4eFfbGvRBtrnULT4D3NRy&#10;EkVTabDksFBgQ2lBWXW8GwUnWb3jtNrla1nv79UgvW3Ky02pfm8czUF4evl/+NfeagWzGXy/hB8g&#10;lx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HHyfLoAAADbAAAADwAAAAAAAAABACAAAAA4AAAAZHJzL2Rvd25yZXYueG1s&#10;UEsBAhQAFAAAAAgAh07iQDMvBZ47AAAAOQAAABAAAAAAAAAAAQAgAAAAHwEAAGRycy9zaGFwZXht&#10;bC54bWxQSwUGAAAAAAYABgBbAQAAyQMAAAAA&#10;">
                      <v:fill on="f" focussize="0,0"/>
                      <v:stroke on="f"/>
                      <v:imagedata o:title=""/>
                      <o:lock v:ext="edit" aspectratio="f"/>
                      <v:textbox inset="2.54mm,1mm,2.54mm,1.27mm">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启用市沿江港口应急物资储备库</w:t>
                            </w:r>
                          </w:p>
                        </w:txbxContent>
                      </v:textbox>
                    </v:shape>
                  </v:group>
                  <v:group id="_x0000_s1026" o:spid="_x0000_s1026" o:spt="203" style="position:absolute;left:9627;top:861808;height:513;width:3252;" coordorigin="6690,860561" coordsize="2255,522" o:gfxdata="UEsFBgAAAAAAAAAAAAAAAAAAAAAAAFBLAwQKAAAAAACHTuJAAAAAAAAAAAAAAAAABAAAAGRycy9Q&#10;SwMEFAAAAAgAh07iQNGneLO7AAAA2wAAAA8AAABkcnMvZG93bnJldi54bWxFT8uKwjAU3Q/4D+EK&#10;sxvTOoxKNRURHWYhgg8Qd5fm9oHNTWliq38/WQguD+e9WD5MLTpqXWVZQTyKQBBnVldcKDiftl8z&#10;EM4ja6wtk4InOVimg48FJtr2fKDu6AsRQtglqKD0vkmkdFlJBt3INsSBy21r0AfYFlK32IdwU8tx&#10;FE2kwYpDQ4kNrUvKbse7UfDbY7/6jjfd7pavn9fTz/6yi0mpz2EczUF4evi3+OX+0wqmYWz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Rp3izuwAAANsAAAAPAAAAAAAAAAEAIAAA&#10;ADgAAABkcnMvZG93bnJldi54bWxQSwECFAAUAAAACACHTuJAMy8FnjsAAAA5AAAAFQAAAAAAAAAB&#10;ACAAAAAgAQAAZHJzL2dyb3Vwc2hhcGV4bWwueG1sUEsFBgAAAAAGAAYAYAEAAN0DAAAAAA==&#10;">
                    <o:lock v:ext="edit" aspectratio="f"/>
                    <v:rect id="_x0000_s1026" o:spid="_x0000_s1026" o:spt="1" style="position:absolute;left:6709;top:860561;height:522;width:2236;v-text-anchor:middle;" filled="f" stroked="t" coordsize="21600,21600" o:gfxdata="UEsFBgAAAAAAAAAAAAAAAAAAAAAAAFBLAwQKAAAAAACHTuJAAAAAAAAAAAAAAAAABAAAAGRycy9Q&#10;SwMEFAAAAAgAh07iQIU3Kou8AAAA2wAAAA8AAABkcnMvZG93bnJldi54bWxFj0GLwjAUhO+C/yE8&#10;wZum3YNrq1F0UXAXL1Z/wLN5ttXmpTRR67/fLCx4HGbmG2a+7EwtHtS6yrKCeByBIM6trrhQcDpu&#10;R1MQziNrrC2Tghc5WC76vTmm2j75QI/MFyJA2KWooPS+SaV0eUkG3dg2xMG72NagD7ItpG7xGeCm&#10;lh9RNJEGKw4LJTb0VVJ+y+5GgVxv9vef83fiVpuuSq6XuMv9VqnhII5mIDx1/h3+b++0gs8E/r6E&#10;HyA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FNyqLvAAAANsAAAAPAAAAAAAAAAEAIAAAADgAAABkcnMvZG93bnJldi54&#10;bWxQSwECFAAUAAAACACHTuJAMy8FnjsAAAA5AAAAEAAAAAAAAAABACAAAAAhAQAAZHJzL3NoYXBl&#10;eG1sLnhtbFBLBQYAAAAABgAGAFsBAADLAwAAAAA=&#10;">
                      <v:fill on="f" focussize="0,0"/>
                      <v:stroke weight="1pt" color="#000000" joinstyle="round" endarrow="block"/>
                      <v:imagedata o:title=""/>
                      <o:lock v:ext="edit" aspectratio="f"/>
                    </v:rect>
                    <v:shape id="_x0000_s1026" o:spid="_x0000_s1026" o:spt="202" type="#_x0000_t202" style="position:absolute;left:6690;top:860601;height:429;width:2219;" filled="f" stroked="f" coordsize="21600,21600" o:gfxdata="UEsFBgAAAAAAAAAAAAAAAAAAAAAAAFBLAwQKAAAAAACHTuJAAAAAAAAAAAAAAAAABAAAAGRycy9Q&#10;SwMEFAAAAAgAh07iQOZNGi+3AAAA2wAAAA8AAABkcnMvZG93bnJldi54bWxFT7sKwjAU3QX/IVzB&#10;RTTVQUo1dqgIIi4+FrdLc21Lm5u2ia+/N4PgeDjvdfo2jXhS7yrLCuazCARxbnXFhYLrZTeNQTiP&#10;rLGxTAo+5CDdDAdrTLR98YmeZ1+IEMIuQQWl920ipctLMuhmtiUO3N32Bn2AfSF1j68Qbhq5iKKl&#10;NFhxaCixpaykvD4/jIKLrD9xVh+KrWyOj3qSdbvq1ik1Hs2jFQhPb/8X/9x7rSAO68OX8APk5gt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5k0aL7cAAADbAAAADwAAAAAAAAABACAAAAA4AAAAZHJzL2Rvd25yZXYueG1sUEsB&#10;AhQAFAAAAAgAh07iQDMvBZ47AAAAOQAAABAAAAAAAAAAAQAgAAAAHAEAAGRycy9zaGFwZXhtbC54&#10;bWxQSwUGAAAAAAYABgBbAQAAxgMAAAAA&#10;">
                      <v:fill on="f" focussize="0,0"/>
                      <v:stroke on="f"/>
                      <v:imagedata o:title=""/>
                      <o:lock v:ext="edit" aspectratio="f"/>
                      <v:textbox inset="2.54mm,1mm,2.54mm,1.27mm">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市交通运输救援队赶赴救援</w:t>
                            </w:r>
                          </w:p>
                        </w:txbxContent>
                      </v:textbox>
                    </v:shape>
                  </v:group>
                  <v:group id="_x0000_s1026" o:spid="_x0000_s1026" o:spt="203" style="position:absolute;left:9632;top:862355;height:513;width:3252;" coordorigin="6690,860561" coordsize="2255,522" o:gfxdata="UEsFBgAAAAAAAAAAAAAAAAAAAAAAAFBLAwQKAAAAAACHTuJAAAAAAAAAAAAAAAAABAAAAGRycy9Q&#10;SwMEFAAAAAgAh07iQHVIoQm+AAAA2wAAAA8AAABkcnMvZG93bnJldi54bWxFj0FrwkAUhO+F/ofl&#10;FXprNqu0hNQ1lKDSgxSqgnh7ZJ9JMPs2ZNdE/323UOhxmJlvmEVxs50YafCtYw0qSUEQV860XGs4&#10;7NcvGQgfkA12jknDnTwUy8eHBebGTfxN4y7UIkLY56ihCaHPpfRVQxZ94nri6J3dYDFEOdTSDDhF&#10;uO3kLE3fpMWW40KDPZUNVZfd1WrYTDh9zNVq3F7O5f20f/06bhVp/fyk0ncQgW7hP/zX/jQaMgW/&#10;X+IPkMsf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1SKEJvgAAANsAAAAPAAAAAAAAAAEA&#10;IAAAADgAAABkcnMvZG93bnJldi54bWxQSwECFAAUAAAACACHTuJAMy8FnjsAAAA5AAAAFQAAAAAA&#10;AAABACAAAAAjAQAAZHJzL2dyb3Vwc2hhcGV4bWwueG1sUEsFBgAAAAAGAAYAYAEAAOADAAAAAA==&#10;">
                    <o:lock v:ext="edit" aspectratio="f"/>
                    <v:rect id="_x0000_s1026" o:spid="_x0000_s1026" o:spt="1" style="position:absolute;left:6709;top:860561;height:522;width:2236;v-text-anchor:middle;" filled="f" stroked="t" coordsize="21600,21600" o:gfxdata="UEsFBgAAAAAAAAAAAAAAAAAAAAAAAFBLAwQKAAAAAACHTuJAAAAAAAAAAAAAAAAABAAAAGRycy9Q&#10;SwMEFAAAAAgAh07iQL5GyN27AAAA2wAAAA8AAABkcnMvZG93bnJldi54bWxFj8GqwjAURPcP/Idw&#10;BXfPtC5Eq1FUFFTcvOoHXJtrW21uShO1/r0RhLccZuYMM523phIPalxpWUHcj0AQZ1aXnCs4HTe/&#10;IxDOI2usLJOCFzmYzzo/U0y0ffIfPVKfiwBhl6CCwvs6kdJlBRl0fVsTB+9iG4M+yCaXusFngJtK&#10;DqJoKA2WHBYKrGlVUHZL70aBXK4P9/15N3aLdVuOr5e4zfxGqV43jiYgPLX+P/xtb7WC0QA+X8IP&#10;kLM3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5GyN27AAAA2wAAAA8AAAAAAAAAAQAgAAAAOAAAAGRycy9kb3ducmV2Lnht&#10;bFBLAQIUABQAAAAIAIdO4kAzLwWeOwAAADkAAAAQAAAAAAAAAAEAIAAAACABAABkcnMvc2hhcGV4&#10;bWwueG1sUEsFBgAAAAAGAAYAWwEAAMoDAAAAAA==&#10;">
                      <v:fill on="f" focussize="0,0"/>
                      <v:stroke weight="1pt" color="#000000" joinstyle="round" endarrow="block"/>
                      <v:imagedata o:title=""/>
                      <o:lock v:ext="edit" aspectratio="f"/>
                    </v:rect>
                    <v:shape id="_x0000_s1026" o:spid="_x0000_s1026" o:spt="202" type="#_x0000_t202" style="position:absolute;left:6690;top:860601;height:429;width:2219;" filled="f" stroked="f" coordsize="21600,21600" o:gfxdata="UEsFBgAAAAAAAAAAAAAAAAAAAAAAAFBLAwQKAAAAAACHTuJAAAAAAAAAAAAAAAAABAAAAGRycy9Q&#10;SwMEFAAAAAgAh07iQBafhFi6AAAA2wAAAA8AAABkcnMvZG93bnJldi54bWxFj0sLwjAQhO+C/yGs&#10;4EU0VUFKNXqoCCJefFy8Lc3aljab2sTXvzeC4HGYmW+YxeplavGg1pWWFYxHEQjizOqScwXn02YY&#10;g3AeWWNtmRS8ycFq2e0sMNH2yQd6HH0uAoRdggoK75tESpcVZNCNbEMcvKttDfog21zqFp8Bbmo5&#10;iaKZNFhyWCiwobSgrDrejYKTrN5xWu3ytaz392qQ3jbl5aZUvzeO5iA8vfw//GtvtYJ4Ct8v4QfI&#10;5Q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p+EWLoAAADbAAAADwAAAAAAAAABACAAAAA4AAAAZHJzL2Rvd25yZXYueG1s&#10;UEsBAhQAFAAAAAgAh07iQDMvBZ47AAAAOQAAABAAAAAAAAAAAQAgAAAAHwEAAGRycy9zaGFwZXht&#10;bC54bWxQSwUGAAAAAAYABgBbAQAAyQMAAAAA&#10;">
                      <v:fill on="f" focussize="0,0"/>
                      <v:stroke on="f"/>
                      <v:imagedata o:title=""/>
                      <o:lock v:ext="edit" aspectratio="f"/>
                      <v:textbox inset="2.54mm,1mm,2.54mm,1.27mm">
                        <w:txbxContent>
                          <w:p>
                            <w:pPr>
                              <w:pStyle w:val="6"/>
                              <w:jc w:val="center"/>
                              <w:rPr>
                                <w:rFonts w:ascii="方正仿宋_GBK" w:eastAsia="方正仿宋_GBK"/>
                                <w:color w:val="000000"/>
                                <w:kern w:val="24"/>
                                <w:sz w:val="22"/>
                              </w:rPr>
                            </w:pPr>
                            <w:r>
                              <w:rPr>
                                <w:rFonts w:hint="eastAsia" w:ascii="方正仿宋_GBK" w:eastAsia="方正仿宋_GBK"/>
                                <w:color w:val="000000"/>
                                <w:kern w:val="24"/>
                                <w:sz w:val="22"/>
                              </w:rPr>
                              <w:t>应急指挥部成员单位开展工作</w:t>
                            </w:r>
                          </w:p>
                          <w:p>
                            <w:pPr>
                              <w:rPr>
                                <w:rFonts w:ascii="方正仿宋_GBK" w:hAnsi="宋体" w:eastAsia="方正仿宋_GBK"/>
                              </w:rPr>
                            </w:pPr>
                          </w:p>
                        </w:txbxContent>
                      </v:textbox>
                    </v:shape>
                  </v:group>
                </v:group>
                <v:shape id="_x0000_s1026" o:spid="_x0000_s1026" o:spt="32" type="#_x0000_t32" style="position:absolute;left:7862;top:864012;height:721;width:5;" filled="f" stroked="t" coordsize="21600,21600" o:gfxdata="UEsFBgAAAAAAAAAAAAAAAAAAAAAAAFBLAwQKAAAAAACHTuJAAAAAAAAAAAAAAAAABAAAAGRycy9Q&#10;SwMEFAAAAAgAh07iQGw4+My3AAAA2wAAAA8AAABkcnMvZG93bnJldi54bWxFj0sLwjAQhO+C/yGs&#10;4EU0VUSkGoUKFa8+8Lw0a1ttNiWJr39vBMHjMDPfMMv1yzTiQc7XlhWMRwkI4sLqmksFp2M+nIPw&#10;AVljY5kUvMnDetXtLDHV9sl7ehxCKSKEfYoKqhDaVEpfVGTQj2xLHL2LdQZDlK6U2uEzwk0jJ0ky&#10;kwZrjgsVtrSpqLgd7kbBwJrs6vPbNrtPi9xls/OOyolS/d44WYAI9Ar/8K+90wrmU/h+iT9Arj5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bDj4zLcAAADbAAAADwAAAAAAAAABACAAAAA4AAAAZHJzL2Rvd25yZXYueG1sUEsB&#10;AhQAFAAAAAgAh07iQDMvBZ47AAAAOQAAABAAAAAAAAAAAQAgAAAAHAEAAGRycy9zaGFwZXhtbC54&#10;bWxQSwUGAAAAAAYABgBbAQAAxgMAAAAA&#10;">
                  <v:fill on="f" focussize="0,0"/>
                  <v:stroke weight="1pt" color="#000000" joinstyle="round" endarrow="block"/>
                  <v:imagedata o:title=""/>
                  <o:lock v:ext="edit" aspectratio="f"/>
                </v:shape>
              </v:group>
            </w:pict>
          </mc:Fallback>
        </mc:AlternateContent>
      </w:r>
    </w:p>
    <w:p/>
    <w:p/>
    <w:p/>
    <w:p/>
    <w:p/>
    <w:p/>
    <w:p/>
    <w:p/>
    <w:p/>
    <w:p/>
    <w:p/>
    <w:p/>
    <w:p/>
    <w:p/>
    <w:p/>
    <w:p/>
    <w:p>
      <w:pPr>
        <w:jc w:val="center"/>
        <w:sectPr>
          <w:pgSz w:w="11910" w:h="16840"/>
          <w:pgMar w:top="1440" w:right="1800" w:bottom="1440" w:left="1800" w:header="0" w:footer="1014" w:gutter="0"/>
          <w:pgNumType w:fmt="numberInDash"/>
          <w:cols w:space="720" w:num="1"/>
          <w:docGrid w:linePitch="326" w:charSpace="0"/>
        </w:sectPr>
      </w:pPr>
    </w:p>
    <w:p>
      <w:pPr>
        <w:snapToGrid w:val="0"/>
        <w:spacing w:line="560" w:lineRule="exact"/>
        <w:rPr>
          <w:rFonts w:eastAsia="仿宋_GB2312"/>
          <w:sz w:val="32"/>
          <w:szCs w:val="32"/>
        </w:rPr>
      </w:pPr>
      <w:bookmarkStart w:id="74" w:name="_Toc121478061"/>
      <w:r>
        <w:rPr>
          <w:rFonts w:eastAsia="仿宋_GB2312"/>
          <w:sz w:val="32"/>
          <w:szCs w:val="32"/>
        </w:rPr>
        <w:t>附件6</w:t>
      </w:r>
      <w:bookmarkEnd w:id="74"/>
    </w:p>
    <w:p>
      <w:pPr>
        <w:pStyle w:val="3"/>
        <w:jc w:val="center"/>
        <w:rPr>
          <w:rFonts w:eastAsia="楷体"/>
          <w:b w:val="0"/>
          <w:bCs w:val="0"/>
          <w:sz w:val="32"/>
        </w:rPr>
      </w:pPr>
      <w:bookmarkStart w:id="75" w:name="_Toc121478062"/>
      <w:r>
        <w:rPr>
          <w:rFonts w:eastAsia="楷体"/>
          <w:b w:val="0"/>
          <w:bCs w:val="0"/>
          <w:sz w:val="32"/>
        </w:rPr>
        <w:t>南京市交通运输局港口突发事件应急响应流程图</w:t>
      </w:r>
      <w:bookmarkEnd w:id="75"/>
    </w:p>
    <w:p/>
    <w:p>
      <w:pPr>
        <w:sectPr>
          <w:pgSz w:w="11910" w:h="16840"/>
          <w:pgMar w:top="1440" w:right="1800" w:bottom="1440" w:left="1800" w:header="0" w:footer="1014" w:gutter="0"/>
          <w:pgNumType w:fmt="numberInDash"/>
          <w:cols w:space="720" w:num="1"/>
          <w:docGrid w:linePitch="326" w:charSpace="0"/>
        </w:sectPr>
      </w:pPr>
      <w:r>
        <w:object>
          <v:shape id="_x0000_i1026" o:spt="75" type="#_x0000_t75" style="height:489.75pt;width:415.5pt;" o:ole="t" filled="f" o:preferrelative="t" stroked="f" coordsize="21600,21600">
            <v:path/>
            <v:fill on="f" focussize="0,0"/>
            <v:stroke on="f"/>
            <v:imagedata r:id="rId6" o:title=""/>
            <o:lock v:ext="edit" aspectratio="t"/>
            <w10:wrap type="none"/>
            <w10:anchorlock/>
          </v:shape>
          <o:OLEObject Type="Embed" ProgID="Visio.Drawing.15" ShapeID="_x0000_i1026" DrawAspect="Content" ObjectID="_1468075725" r:id="rId5">
            <o:LockedField>false</o:LockedField>
          </o:OLEObject>
        </w:object>
      </w:r>
    </w:p>
    <w:p>
      <w:pPr>
        <w:snapToGrid w:val="0"/>
        <w:spacing w:line="560" w:lineRule="exact"/>
        <w:rPr>
          <w:rFonts w:eastAsia="仿宋_GB2312"/>
          <w:sz w:val="32"/>
          <w:szCs w:val="32"/>
        </w:rPr>
      </w:pPr>
      <w:bookmarkStart w:id="76" w:name="_Toc121478063"/>
      <w:r>
        <w:rPr>
          <w:rFonts w:eastAsia="仿宋_GB2312"/>
          <w:sz w:val="32"/>
          <w:szCs w:val="32"/>
        </w:rPr>
        <w:t>附件7</w:t>
      </w:r>
      <w:bookmarkEnd w:id="76"/>
    </w:p>
    <w:p>
      <w:pPr>
        <w:pStyle w:val="3"/>
        <w:jc w:val="center"/>
        <w:rPr>
          <w:rFonts w:eastAsia="楷体"/>
          <w:b w:val="0"/>
          <w:bCs w:val="0"/>
          <w:sz w:val="32"/>
        </w:rPr>
      </w:pPr>
      <w:bookmarkStart w:id="77" w:name="_Toc121478064"/>
      <w:r>
        <w:rPr>
          <w:rFonts w:eastAsia="楷体"/>
          <w:b w:val="0"/>
          <w:bCs w:val="0"/>
          <w:sz w:val="32"/>
        </w:rPr>
        <w:t>南京市沿江港口应急物资公共储备库应急物资清单</w:t>
      </w:r>
      <w:bookmarkEnd w:id="77"/>
    </w:p>
    <w:p>
      <w:pPr>
        <w:snapToGrid w:val="0"/>
        <w:spacing w:line="560" w:lineRule="exact"/>
        <w:ind w:firstLine="640" w:firstLineChars="200"/>
        <w:rPr>
          <w:rFonts w:eastAsia="仿宋_GB2312"/>
          <w:sz w:val="32"/>
          <w:szCs w:val="32"/>
        </w:rPr>
      </w:pPr>
      <w:r>
        <w:rPr>
          <w:rFonts w:eastAsia="仿宋_GB2312"/>
          <w:sz w:val="32"/>
          <w:szCs w:val="32"/>
        </w:rPr>
        <w:t>栖霞库港口应急物资库（一）</w:t>
      </w:r>
    </w:p>
    <w:tbl>
      <w:tblPr>
        <w:tblStyle w:val="8"/>
        <w:tblW w:w="4774" w:type="pct"/>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1007"/>
        <w:gridCol w:w="2138"/>
        <w:gridCol w:w="3566"/>
        <w:gridCol w:w="2156"/>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68" w:type="pct"/>
            <w:tcBorders>
              <w:top w:val="single" w:color="auto" w:sz="12" w:space="0"/>
              <w:left w:val="single" w:color="auto" w:sz="12" w:space="0"/>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序号</w:t>
            </w:r>
          </w:p>
        </w:tc>
        <w:tc>
          <w:tcPr>
            <w:tcW w:w="1205" w:type="pct"/>
            <w:tcBorders>
              <w:top w:val="single" w:color="auto" w:sz="12" w:space="0"/>
              <w:left w:val="nil"/>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种类</w:t>
            </w:r>
          </w:p>
        </w:tc>
        <w:tc>
          <w:tcPr>
            <w:tcW w:w="2010" w:type="pct"/>
            <w:tcBorders>
              <w:top w:val="single" w:color="auto" w:sz="12" w:space="0"/>
              <w:left w:val="nil"/>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物品名称</w:t>
            </w:r>
          </w:p>
        </w:tc>
        <w:tc>
          <w:tcPr>
            <w:tcW w:w="1215" w:type="pct"/>
            <w:tcBorders>
              <w:top w:val="single" w:color="auto" w:sz="12" w:space="0"/>
              <w:left w:val="nil"/>
              <w:bottom w:val="single" w:color="auto" w:sz="4" w:space="0"/>
              <w:right w:val="single" w:color="auto" w:sz="12" w:space="0"/>
            </w:tcBorders>
            <w:noWrap w:val="0"/>
            <w:vAlign w:val="center"/>
          </w:tcPr>
          <w:p>
            <w:pPr>
              <w:widowControl/>
              <w:jc w:val="center"/>
              <w:rPr>
                <w:rFonts w:eastAsia="黑体"/>
                <w:b/>
                <w:bCs/>
                <w:spacing w:val="-2"/>
              </w:rPr>
            </w:pPr>
            <w:r>
              <w:rPr>
                <w:rFonts w:eastAsia="黑体"/>
                <w:b/>
                <w:bCs/>
                <w:spacing w:val="-2"/>
              </w:rPr>
              <w:t>数量</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w:t>
            </w:r>
          </w:p>
        </w:tc>
        <w:tc>
          <w:tcPr>
            <w:tcW w:w="1205"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1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防爆磁压式堵漏工具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w:t>
            </w:r>
          </w:p>
        </w:tc>
        <w:tc>
          <w:tcPr>
            <w:tcW w:w="1205"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1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撑顶器</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w:t>
            </w:r>
          </w:p>
        </w:tc>
        <w:tc>
          <w:tcPr>
            <w:tcW w:w="1205"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1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A级气密性防化服</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w:t>
            </w:r>
          </w:p>
        </w:tc>
        <w:tc>
          <w:tcPr>
            <w:tcW w:w="1205"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1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正压式空气呼吸器</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w:t>
            </w:r>
          </w:p>
        </w:tc>
        <w:tc>
          <w:tcPr>
            <w:tcW w:w="1205"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1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正压式空气呼吸器</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w:t>
            </w:r>
          </w:p>
        </w:tc>
        <w:tc>
          <w:tcPr>
            <w:tcW w:w="1205"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1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木制堵漏契</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w:t>
            </w:r>
          </w:p>
        </w:tc>
        <w:tc>
          <w:tcPr>
            <w:tcW w:w="1205"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1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粘贴式堵漏工具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w:t>
            </w:r>
          </w:p>
        </w:tc>
        <w:tc>
          <w:tcPr>
            <w:tcW w:w="1205"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1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金属堵漏套管</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w:t>
            </w:r>
          </w:p>
        </w:tc>
        <w:tc>
          <w:tcPr>
            <w:tcW w:w="1205"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1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注入式堵漏工具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10</w:t>
            </w:r>
          </w:p>
        </w:tc>
        <w:tc>
          <w:tcPr>
            <w:tcW w:w="1205"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1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阀门堵漏套具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11</w:t>
            </w:r>
          </w:p>
        </w:tc>
        <w:tc>
          <w:tcPr>
            <w:tcW w:w="1205"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1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综合防护口罩</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360只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12</w:t>
            </w:r>
          </w:p>
        </w:tc>
        <w:tc>
          <w:tcPr>
            <w:tcW w:w="1205"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1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防化护目镜</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1箱（40副）</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13</w:t>
            </w:r>
          </w:p>
        </w:tc>
        <w:tc>
          <w:tcPr>
            <w:tcW w:w="1205"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201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围堵防漏护道</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25箱（100条）</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8" w:type="pct"/>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14</w:t>
            </w:r>
          </w:p>
        </w:tc>
        <w:tc>
          <w:tcPr>
            <w:tcW w:w="1205" w:type="pct"/>
            <w:tcBorders>
              <w:top w:val="single" w:color="auto" w:sz="4" w:space="0"/>
              <w:left w:val="nil"/>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10" w:type="pct"/>
            <w:tcBorders>
              <w:top w:val="single" w:color="auto" w:sz="4" w:space="0"/>
              <w:left w:val="nil"/>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气密性防火防化服</w:t>
            </w:r>
          </w:p>
        </w:tc>
        <w:tc>
          <w:tcPr>
            <w:tcW w:w="1215" w:type="pct"/>
            <w:tcBorders>
              <w:top w:val="single" w:color="auto" w:sz="4" w:space="0"/>
              <w:left w:val="nil"/>
              <w:bottom w:val="single" w:color="auto" w:sz="12" w:space="0"/>
              <w:right w:val="single" w:color="auto" w:sz="12" w:space="0"/>
            </w:tcBorders>
            <w:noWrap w:val="0"/>
            <w:vAlign w:val="center"/>
          </w:tcPr>
          <w:p>
            <w:pPr>
              <w:widowControl/>
              <w:jc w:val="center"/>
              <w:rPr>
                <w:rFonts w:eastAsia="仿宋"/>
                <w:spacing w:val="-2"/>
              </w:rPr>
            </w:pPr>
            <w:r>
              <w:rPr>
                <w:rFonts w:eastAsia="仿宋"/>
                <w:spacing w:val="-2"/>
              </w:rPr>
              <w:t>2套</w:t>
            </w:r>
          </w:p>
        </w:tc>
      </w:tr>
    </w:tbl>
    <w:p>
      <w:pPr>
        <w:rPr>
          <w:rFonts w:eastAsia="微软雅黑"/>
          <w:b/>
          <w:bCs/>
          <w:sz w:val="30"/>
          <w:szCs w:val="30"/>
        </w:rPr>
      </w:pPr>
    </w:p>
    <w:p>
      <w:pPr>
        <w:snapToGrid w:val="0"/>
        <w:spacing w:line="560" w:lineRule="exact"/>
        <w:ind w:firstLine="640" w:firstLineChars="200"/>
        <w:rPr>
          <w:rFonts w:eastAsia="仿宋_GB2312"/>
          <w:sz w:val="32"/>
          <w:szCs w:val="32"/>
        </w:rPr>
      </w:pPr>
      <w:r>
        <w:rPr>
          <w:rFonts w:eastAsia="仿宋_GB2312"/>
          <w:sz w:val="32"/>
          <w:szCs w:val="32"/>
        </w:rPr>
        <w:t>栖霞库港口应急物资库（二）</w:t>
      </w:r>
    </w:p>
    <w:tbl>
      <w:tblPr>
        <w:tblStyle w:val="8"/>
        <w:tblW w:w="4819" w:type="pct"/>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1030"/>
        <w:gridCol w:w="2165"/>
        <w:gridCol w:w="3582"/>
        <w:gridCol w:w="2174"/>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25" w:hRule="atLeast"/>
          <w:jc w:val="center"/>
        </w:trPr>
        <w:tc>
          <w:tcPr>
            <w:tcW w:w="575" w:type="pct"/>
            <w:tcBorders>
              <w:top w:val="single" w:color="auto" w:sz="12" w:space="0"/>
              <w:left w:val="single" w:color="auto" w:sz="12" w:space="0"/>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序号</w:t>
            </w:r>
          </w:p>
        </w:tc>
        <w:tc>
          <w:tcPr>
            <w:tcW w:w="1209" w:type="pct"/>
            <w:tcBorders>
              <w:top w:val="single" w:color="auto" w:sz="12" w:space="0"/>
              <w:left w:val="nil"/>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种类</w:t>
            </w:r>
          </w:p>
        </w:tc>
        <w:tc>
          <w:tcPr>
            <w:tcW w:w="2000" w:type="pct"/>
            <w:tcBorders>
              <w:top w:val="single" w:color="auto" w:sz="12" w:space="0"/>
              <w:left w:val="nil"/>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物品名称</w:t>
            </w:r>
          </w:p>
        </w:tc>
        <w:tc>
          <w:tcPr>
            <w:tcW w:w="1214" w:type="pct"/>
            <w:tcBorders>
              <w:top w:val="single" w:color="auto" w:sz="12" w:space="0"/>
              <w:left w:val="nil"/>
              <w:bottom w:val="single" w:color="auto" w:sz="4" w:space="0"/>
              <w:right w:val="single" w:color="auto" w:sz="12" w:space="0"/>
            </w:tcBorders>
            <w:noWrap w:val="0"/>
            <w:vAlign w:val="center"/>
          </w:tcPr>
          <w:p>
            <w:pPr>
              <w:widowControl/>
              <w:jc w:val="center"/>
              <w:rPr>
                <w:rFonts w:eastAsia="黑体"/>
                <w:b/>
                <w:bCs/>
                <w:spacing w:val="-2"/>
              </w:rPr>
            </w:pPr>
            <w:r>
              <w:rPr>
                <w:rFonts w:eastAsia="黑体"/>
                <w:b/>
                <w:bCs/>
                <w:spacing w:val="-2"/>
              </w:rPr>
              <w:t>数量</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四合一便携式防爆检测仪</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测厚仪</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垫片</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10x7 共70片</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缓降器</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铁丝</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30KG</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动力燃料类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防爆手摇式油泵</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铁锨</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20把</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手持报警器</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防爆扩音喇叭</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10</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闪光警示灯</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11</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隔离警示带</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10盘</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12</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急救药箱</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13</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消防腰斧</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14</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移动式静电接地报警器</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15</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组合工具箱</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16</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无火花工具</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17</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消防平斧</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18</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撬棍</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9把</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19</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动力燃料类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干电池</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1#10节 5#4节</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20</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应急清洗套装（洗眼液）</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21</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硼酸</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9瓶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22</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管道粘结剂</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23</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应急照明类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佩戴式防爆照明灯</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9只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24</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应急照明类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手持防爆电筒</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25</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环境监测类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热成像仪</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26</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环境监测类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手持红外测温仪</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7只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27</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环境监测类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现场环境多功能测量仪</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28</w:t>
            </w:r>
          </w:p>
        </w:tc>
        <w:tc>
          <w:tcPr>
            <w:tcW w:w="120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00"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手持喊话器</w:t>
            </w:r>
          </w:p>
        </w:tc>
        <w:tc>
          <w:tcPr>
            <w:tcW w:w="121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25" w:hRule="atLeast"/>
          <w:jc w:val="center"/>
        </w:trPr>
        <w:tc>
          <w:tcPr>
            <w:tcW w:w="575" w:type="pct"/>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29</w:t>
            </w:r>
          </w:p>
        </w:tc>
        <w:tc>
          <w:tcPr>
            <w:tcW w:w="1209" w:type="pct"/>
            <w:tcBorders>
              <w:top w:val="single" w:color="auto" w:sz="4" w:space="0"/>
              <w:left w:val="nil"/>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00" w:type="pct"/>
            <w:tcBorders>
              <w:top w:val="single" w:color="auto" w:sz="4" w:space="0"/>
              <w:left w:val="nil"/>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消防员呼救器</w:t>
            </w:r>
          </w:p>
        </w:tc>
        <w:tc>
          <w:tcPr>
            <w:tcW w:w="1214" w:type="pct"/>
            <w:tcBorders>
              <w:top w:val="single" w:color="auto" w:sz="4" w:space="0"/>
              <w:left w:val="nil"/>
              <w:bottom w:val="single" w:color="auto" w:sz="12" w:space="0"/>
              <w:right w:val="single" w:color="auto" w:sz="12" w:space="0"/>
            </w:tcBorders>
            <w:noWrap w:val="0"/>
            <w:vAlign w:val="center"/>
          </w:tcPr>
          <w:p>
            <w:pPr>
              <w:widowControl/>
              <w:jc w:val="center"/>
              <w:rPr>
                <w:rFonts w:eastAsia="仿宋"/>
                <w:spacing w:val="-2"/>
              </w:rPr>
            </w:pPr>
            <w:r>
              <w:rPr>
                <w:rFonts w:eastAsia="仿宋"/>
                <w:spacing w:val="-2"/>
              </w:rPr>
              <w:t>10个</w:t>
            </w:r>
          </w:p>
        </w:tc>
      </w:tr>
    </w:tbl>
    <w:p>
      <w:pPr>
        <w:rPr>
          <w:rFonts w:eastAsia="微软雅黑"/>
          <w:b/>
          <w:bCs/>
          <w:sz w:val="30"/>
          <w:szCs w:val="30"/>
        </w:rPr>
      </w:pPr>
    </w:p>
    <w:p>
      <w:pPr>
        <w:snapToGrid w:val="0"/>
        <w:spacing w:line="560" w:lineRule="exact"/>
        <w:ind w:firstLine="640" w:firstLineChars="200"/>
        <w:rPr>
          <w:rFonts w:eastAsia="仿宋_GB2312"/>
          <w:sz w:val="32"/>
          <w:szCs w:val="32"/>
        </w:rPr>
      </w:pPr>
      <w:r>
        <w:rPr>
          <w:rFonts w:eastAsia="仿宋_GB2312"/>
          <w:sz w:val="32"/>
          <w:szCs w:val="32"/>
        </w:rPr>
        <w:t>栖霞库港口应急物资库（三）</w:t>
      </w:r>
    </w:p>
    <w:tbl>
      <w:tblPr>
        <w:tblStyle w:val="8"/>
        <w:tblW w:w="5000" w:type="pct"/>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0" w:type="dxa"/>
          <w:bottom w:w="0" w:type="dxa"/>
          <w:right w:w="0" w:type="dxa"/>
        </w:tblCellMar>
      </w:tblPr>
      <w:tblGrid>
        <w:gridCol w:w="1063"/>
        <w:gridCol w:w="2205"/>
        <w:gridCol w:w="3601"/>
        <w:gridCol w:w="2232"/>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308" w:hRule="atLeast"/>
          <w:jc w:val="center"/>
        </w:trPr>
        <w:tc>
          <w:tcPr>
            <w:tcW w:w="584" w:type="pct"/>
            <w:tcBorders>
              <w:top w:val="single" w:color="auto" w:sz="12" w:space="0"/>
              <w:left w:val="single" w:color="auto" w:sz="12" w:space="0"/>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序号</w:t>
            </w:r>
          </w:p>
        </w:tc>
        <w:tc>
          <w:tcPr>
            <w:tcW w:w="1211" w:type="pct"/>
            <w:tcBorders>
              <w:top w:val="single" w:color="auto" w:sz="12" w:space="0"/>
              <w:left w:val="nil"/>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种类</w:t>
            </w:r>
          </w:p>
        </w:tc>
        <w:tc>
          <w:tcPr>
            <w:tcW w:w="1978" w:type="pct"/>
            <w:tcBorders>
              <w:top w:val="single" w:color="auto" w:sz="12" w:space="0"/>
              <w:left w:val="nil"/>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物品名称</w:t>
            </w:r>
          </w:p>
        </w:tc>
        <w:tc>
          <w:tcPr>
            <w:tcW w:w="1226" w:type="pct"/>
            <w:tcBorders>
              <w:top w:val="single" w:color="auto" w:sz="12" w:space="0"/>
              <w:left w:val="nil"/>
              <w:bottom w:val="single" w:color="auto" w:sz="4" w:space="0"/>
              <w:right w:val="single" w:color="auto" w:sz="12" w:space="0"/>
            </w:tcBorders>
            <w:noWrap w:val="0"/>
            <w:vAlign w:val="center"/>
          </w:tcPr>
          <w:p>
            <w:pPr>
              <w:widowControl/>
              <w:jc w:val="center"/>
              <w:rPr>
                <w:rFonts w:eastAsia="黑体"/>
                <w:b/>
                <w:bCs/>
                <w:spacing w:val="-2"/>
              </w:rPr>
            </w:pPr>
            <w:r>
              <w:rPr>
                <w:rFonts w:eastAsia="黑体"/>
                <w:b/>
                <w:bCs/>
                <w:spacing w:val="-2"/>
              </w:rPr>
              <w:t>数量</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468"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消防警戒标志杆</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耳塞</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120个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折叠式担架</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集液盆/桶</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救生衣</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28件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全面罩防毒面具</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8套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过滤式半面罩</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出入口标识牌</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危险警示牌</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25个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10</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全身式安全带</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9件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11</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减震式安全绳</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12</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防护手套</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36副</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13</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耐酸碱手套</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20副</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14</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阻燃防静电服</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30套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15</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反光背心</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40件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16</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救生软梯</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17</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安全帽</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38个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18</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C级防化服</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66"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19</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安全腰带</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20根</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20</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高筒防化靴</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23双</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21</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救生圈</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22</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灭火毯</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10片</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23</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防砸防刺防静电工作鞋</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30双</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24</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化学集污袋</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200只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25</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移动式空气充气泵</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26</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无齿锯</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27</w:t>
            </w:r>
          </w:p>
        </w:tc>
        <w:tc>
          <w:tcPr>
            <w:tcW w:w="1211"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197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机动链锯</w:t>
            </w:r>
          </w:p>
        </w:tc>
        <w:tc>
          <w:tcPr>
            <w:tcW w:w="1226"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584" w:type="pct"/>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28</w:t>
            </w:r>
          </w:p>
        </w:tc>
        <w:tc>
          <w:tcPr>
            <w:tcW w:w="1211" w:type="pct"/>
            <w:tcBorders>
              <w:top w:val="single" w:color="auto" w:sz="4" w:space="0"/>
              <w:left w:val="nil"/>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1978" w:type="pct"/>
            <w:tcBorders>
              <w:top w:val="single" w:color="auto" w:sz="4" w:space="0"/>
              <w:left w:val="nil"/>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减震式安全绳</w:t>
            </w:r>
          </w:p>
        </w:tc>
        <w:tc>
          <w:tcPr>
            <w:tcW w:w="1226" w:type="pct"/>
            <w:tcBorders>
              <w:top w:val="single" w:color="auto" w:sz="4" w:space="0"/>
              <w:left w:val="nil"/>
              <w:bottom w:val="single" w:color="auto" w:sz="12" w:space="0"/>
              <w:right w:val="single" w:color="auto" w:sz="12" w:space="0"/>
            </w:tcBorders>
            <w:noWrap w:val="0"/>
            <w:vAlign w:val="center"/>
          </w:tcPr>
          <w:p>
            <w:pPr>
              <w:widowControl/>
              <w:jc w:val="center"/>
              <w:rPr>
                <w:rFonts w:eastAsia="仿宋"/>
                <w:spacing w:val="-2"/>
              </w:rPr>
            </w:pPr>
          </w:p>
        </w:tc>
      </w:tr>
    </w:tbl>
    <w:p>
      <w:pPr>
        <w:rPr>
          <w:rFonts w:eastAsia="方正仿宋_GBK"/>
          <w:sz w:val="32"/>
          <w:szCs w:val="32"/>
        </w:rPr>
      </w:pPr>
    </w:p>
    <w:p>
      <w:pPr>
        <w:snapToGrid w:val="0"/>
        <w:spacing w:line="560" w:lineRule="exact"/>
        <w:ind w:firstLine="640" w:firstLineChars="200"/>
        <w:rPr>
          <w:rFonts w:eastAsia="仿宋_GB2312"/>
          <w:sz w:val="32"/>
          <w:szCs w:val="32"/>
        </w:rPr>
      </w:pPr>
      <w:r>
        <w:rPr>
          <w:rFonts w:eastAsia="仿宋_GB2312"/>
          <w:sz w:val="32"/>
          <w:szCs w:val="32"/>
        </w:rPr>
        <w:t>港口应急物资库（四）</w:t>
      </w:r>
    </w:p>
    <w:tbl>
      <w:tblPr>
        <w:tblStyle w:val="8"/>
        <w:tblW w:w="4939" w:type="pct"/>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1099"/>
        <w:gridCol w:w="2216"/>
        <w:gridCol w:w="3594"/>
        <w:gridCol w:w="2265"/>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99" w:type="pct"/>
            <w:tcBorders>
              <w:top w:val="single" w:color="auto" w:sz="12" w:space="0"/>
              <w:left w:val="single" w:color="auto" w:sz="12" w:space="0"/>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序号</w:t>
            </w:r>
          </w:p>
        </w:tc>
        <w:tc>
          <w:tcPr>
            <w:tcW w:w="1207" w:type="pct"/>
            <w:tcBorders>
              <w:top w:val="single" w:color="auto" w:sz="12" w:space="0"/>
              <w:left w:val="nil"/>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种类</w:t>
            </w:r>
          </w:p>
        </w:tc>
        <w:tc>
          <w:tcPr>
            <w:tcW w:w="1958" w:type="pct"/>
            <w:tcBorders>
              <w:top w:val="single" w:color="auto" w:sz="12" w:space="0"/>
              <w:left w:val="nil"/>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物品名称</w:t>
            </w:r>
          </w:p>
        </w:tc>
        <w:tc>
          <w:tcPr>
            <w:tcW w:w="1234" w:type="pct"/>
            <w:tcBorders>
              <w:top w:val="single" w:color="auto" w:sz="12" w:space="0"/>
              <w:left w:val="nil"/>
              <w:bottom w:val="single" w:color="auto" w:sz="4" w:space="0"/>
              <w:right w:val="single" w:color="auto" w:sz="12" w:space="0"/>
            </w:tcBorders>
            <w:noWrap w:val="0"/>
            <w:vAlign w:val="center"/>
          </w:tcPr>
          <w:p>
            <w:pPr>
              <w:widowControl/>
              <w:jc w:val="center"/>
              <w:rPr>
                <w:rFonts w:eastAsia="黑体"/>
                <w:b/>
                <w:bCs/>
                <w:spacing w:val="-2"/>
              </w:rPr>
            </w:pPr>
            <w:r>
              <w:rPr>
                <w:rFonts w:eastAsia="黑体"/>
                <w:b/>
                <w:bCs/>
                <w:spacing w:val="-2"/>
              </w:rPr>
              <w:t>数量</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9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w:t>
            </w:r>
          </w:p>
        </w:tc>
        <w:tc>
          <w:tcPr>
            <w:tcW w:w="120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195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气胀式救生筏</w:t>
            </w:r>
          </w:p>
        </w:tc>
        <w:tc>
          <w:tcPr>
            <w:tcW w:w="123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9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w:t>
            </w:r>
          </w:p>
        </w:tc>
        <w:tc>
          <w:tcPr>
            <w:tcW w:w="120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195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机动消防手抬泵</w:t>
            </w:r>
          </w:p>
        </w:tc>
        <w:tc>
          <w:tcPr>
            <w:tcW w:w="123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9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w:t>
            </w:r>
          </w:p>
        </w:tc>
        <w:tc>
          <w:tcPr>
            <w:tcW w:w="120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动力燃料类</w:t>
            </w:r>
          </w:p>
        </w:tc>
        <w:tc>
          <w:tcPr>
            <w:tcW w:w="195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移动发电机</w:t>
            </w:r>
          </w:p>
        </w:tc>
        <w:tc>
          <w:tcPr>
            <w:tcW w:w="123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9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w:t>
            </w:r>
          </w:p>
        </w:tc>
        <w:tc>
          <w:tcPr>
            <w:tcW w:w="120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动力燃料类</w:t>
            </w:r>
          </w:p>
        </w:tc>
        <w:tc>
          <w:tcPr>
            <w:tcW w:w="195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移动照明灯组</w:t>
            </w:r>
          </w:p>
        </w:tc>
        <w:tc>
          <w:tcPr>
            <w:tcW w:w="123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4组</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9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w:t>
            </w:r>
          </w:p>
        </w:tc>
        <w:tc>
          <w:tcPr>
            <w:tcW w:w="120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195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溢漏应急推车</w:t>
            </w:r>
          </w:p>
        </w:tc>
        <w:tc>
          <w:tcPr>
            <w:tcW w:w="123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9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w:t>
            </w:r>
          </w:p>
        </w:tc>
        <w:tc>
          <w:tcPr>
            <w:tcW w:w="120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195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移动式长管呼吸器</w:t>
            </w:r>
          </w:p>
        </w:tc>
        <w:tc>
          <w:tcPr>
            <w:tcW w:w="123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9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w:t>
            </w:r>
          </w:p>
        </w:tc>
        <w:tc>
          <w:tcPr>
            <w:tcW w:w="120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195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救援三脚架</w:t>
            </w:r>
          </w:p>
        </w:tc>
        <w:tc>
          <w:tcPr>
            <w:tcW w:w="123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9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w:t>
            </w:r>
          </w:p>
        </w:tc>
        <w:tc>
          <w:tcPr>
            <w:tcW w:w="120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195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应急现场洗消器</w:t>
            </w:r>
          </w:p>
        </w:tc>
        <w:tc>
          <w:tcPr>
            <w:tcW w:w="123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9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w:t>
            </w:r>
          </w:p>
        </w:tc>
        <w:tc>
          <w:tcPr>
            <w:tcW w:w="120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195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液压单双管剪切器</w:t>
            </w:r>
          </w:p>
        </w:tc>
        <w:tc>
          <w:tcPr>
            <w:tcW w:w="123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9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10</w:t>
            </w:r>
          </w:p>
        </w:tc>
        <w:tc>
          <w:tcPr>
            <w:tcW w:w="120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1958"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液压千斤顶</w:t>
            </w:r>
          </w:p>
        </w:tc>
        <w:tc>
          <w:tcPr>
            <w:tcW w:w="1234"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99" w:type="pct"/>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11</w:t>
            </w:r>
          </w:p>
        </w:tc>
        <w:tc>
          <w:tcPr>
            <w:tcW w:w="1207" w:type="pct"/>
            <w:tcBorders>
              <w:top w:val="single" w:color="auto" w:sz="4" w:space="0"/>
              <w:left w:val="nil"/>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1958" w:type="pct"/>
            <w:tcBorders>
              <w:top w:val="single" w:color="auto" w:sz="4" w:space="0"/>
              <w:left w:val="nil"/>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液压破拆工具组</w:t>
            </w:r>
          </w:p>
        </w:tc>
        <w:tc>
          <w:tcPr>
            <w:tcW w:w="1234" w:type="pct"/>
            <w:tcBorders>
              <w:top w:val="single" w:color="auto" w:sz="4" w:space="0"/>
              <w:left w:val="nil"/>
              <w:bottom w:val="single" w:color="auto" w:sz="12" w:space="0"/>
              <w:right w:val="single" w:color="auto" w:sz="12" w:space="0"/>
            </w:tcBorders>
            <w:noWrap w:val="0"/>
            <w:vAlign w:val="center"/>
          </w:tcPr>
          <w:p>
            <w:pPr>
              <w:widowControl/>
              <w:jc w:val="center"/>
              <w:rPr>
                <w:rFonts w:eastAsia="仿宋"/>
                <w:spacing w:val="-2"/>
              </w:rPr>
            </w:pPr>
            <w:r>
              <w:rPr>
                <w:rFonts w:eastAsia="仿宋"/>
                <w:spacing w:val="-2"/>
              </w:rPr>
              <w:t>1套</w:t>
            </w:r>
          </w:p>
        </w:tc>
      </w:tr>
    </w:tbl>
    <w:p>
      <w:pPr>
        <w:pStyle w:val="3"/>
        <w:rPr>
          <w:rFonts w:eastAsia="方正仿宋_GBK"/>
          <w:b w:val="0"/>
          <w:bCs w:val="0"/>
          <w:sz w:val="32"/>
        </w:rPr>
        <w:sectPr>
          <w:pgSz w:w="11907" w:h="16840"/>
          <w:pgMar w:top="1418" w:right="1418" w:bottom="1418" w:left="1418" w:header="851" w:footer="992" w:gutter="0"/>
          <w:pgNumType w:fmt="numberInDash"/>
          <w:cols w:space="720" w:num="1"/>
          <w:docGrid w:type="lines" w:linePitch="326" w:charSpace="0"/>
        </w:sectPr>
      </w:pPr>
    </w:p>
    <w:p>
      <w:pPr>
        <w:snapToGrid w:val="0"/>
        <w:spacing w:line="560" w:lineRule="exact"/>
        <w:ind w:firstLine="640" w:firstLineChars="200"/>
        <w:rPr>
          <w:rFonts w:eastAsia="仿宋_GB2312"/>
          <w:sz w:val="32"/>
          <w:szCs w:val="32"/>
        </w:rPr>
      </w:pPr>
      <w:r>
        <w:rPr>
          <w:rFonts w:eastAsia="仿宋_GB2312"/>
          <w:sz w:val="32"/>
          <w:szCs w:val="32"/>
        </w:rPr>
        <w:t>大厂库港口应急物资库</w:t>
      </w:r>
    </w:p>
    <w:tbl>
      <w:tblPr>
        <w:tblStyle w:val="8"/>
        <w:tblW w:w="4774" w:type="pct"/>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1009"/>
        <w:gridCol w:w="2034"/>
        <w:gridCol w:w="3669"/>
        <w:gridCol w:w="2155"/>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69" w:type="pct"/>
            <w:tcBorders>
              <w:top w:val="single" w:color="auto" w:sz="12" w:space="0"/>
              <w:left w:val="single" w:color="auto" w:sz="12" w:space="0"/>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序号</w:t>
            </w:r>
          </w:p>
        </w:tc>
        <w:tc>
          <w:tcPr>
            <w:tcW w:w="1147" w:type="pct"/>
            <w:tcBorders>
              <w:top w:val="single" w:color="auto" w:sz="12" w:space="0"/>
              <w:left w:val="nil"/>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种类</w:t>
            </w:r>
          </w:p>
        </w:tc>
        <w:tc>
          <w:tcPr>
            <w:tcW w:w="2069" w:type="pct"/>
            <w:tcBorders>
              <w:top w:val="single" w:color="auto" w:sz="12" w:space="0"/>
              <w:left w:val="nil"/>
              <w:bottom w:val="single" w:color="auto" w:sz="4" w:space="0"/>
              <w:right w:val="single" w:color="auto" w:sz="4" w:space="0"/>
            </w:tcBorders>
            <w:noWrap w:val="0"/>
            <w:vAlign w:val="center"/>
          </w:tcPr>
          <w:p>
            <w:pPr>
              <w:widowControl/>
              <w:jc w:val="center"/>
              <w:rPr>
                <w:rFonts w:eastAsia="黑体"/>
                <w:b/>
                <w:bCs/>
                <w:spacing w:val="-2"/>
              </w:rPr>
            </w:pPr>
            <w:r>
              <w:rPr>
                <w:rFonts w:eastAsia="黑体"/>
                <w:b/>
                <w:bCs/>
                <w:spacing w:val="-2"/>
              </w:rPr>
              <w:t>物品名称</w:t>
            </w:r>
          </w:p>
        </w:tc>
        <w:tc>
          <w:tcPr>
            <w:tcW w:w="1215" w:type="pct"/>
            <w:tcBorders>
              <w:top w:val="single" w:color="auto" w:sz="12" w:space="0"/>
              <w:left w:val="nil"/>
              <w:bottom w:val="single" w:color="auto" w:sz="4" w:space="0"/>
              <w:right w:val="single" w:color="auto" w:sz="12" w:space="0"/>
            </w:tcBorders>
            <w:noWrap w:val="0"/>
            <w:vAlign w:val="center"/>
          </w:tcPr>
          <w:p>
            <w:pPr>
              <w:widowControl/>
              <w:jc w:val="center"/>
              <w:rPr>
                <w:rFonts w:eastAsia="黑体"/>
                <w:b/>
                <w:bCs/>
                <w:spacing w:val="-2"/>
              </w:rPr>
            </w:pPr>
            <w:r>
              <w:rPr>
                <w:rFonts w:eastAsia="黑体"/>
                <w:b/>
                <w:bCs/>
                <w:spacing w:val="-2"/>
              </w:rPr>
              <w:t>数量</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jc w:val="center"/>
              <w:rPr>
                <w:rFonts w:eastAsia="仿宋"/>
                <w:spacing w:val="-2"/>
              </w:rPr>
            </w:pPr>
            <w:r>
              <w:rPr>
                <w:rFonts w:eastAsia="仿宋"/>
                <w:spacing w:val="-2"/>
              </w:rPr>
              <w:t>正压式空气呼吸器（推荐品牌：宝亚、MSA、依格）</w:t>
            </w:r>
          </w:p>
        </w:tc>
        <w:tc>
          <w:tcPr>
            <w:tcW w:w="1215" w:type="pct"/>
            <w:tcBorders>
              <w:top w:val="single" w:color="auto" w:sz="4" w:space="0"/>
              <w:left w:val="nil"/>
              <w:bottom w:val="single" w:color="auto" w:sz="4" w:space="0"/>
              <w:right w:val="single" w:color="auto" w:sz="12" w:space="0"/>
            </w:tcBorders>
            <w:noWrap w:val="0"/>
            <w:vAlign w:val="center"/>
          </w:tcPr>
          <w:p>
            <w:pPr>
              <w:jc w:val="center"/>
              <w:rPr>
                <w:rFonts w:eastAsia="仿宋"/>
                <w:spacing w:val="-2"/>
              </w:rPr>
            </w:pPr>
            <w:r>
              <w:rPr>
                <w:rFonts w:eastAsia="仿宋"/>
                <w:spacing w:val="-2"/>
              </w:rPr>
              <w:t>4套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正压空气呼吸器备用气瓶（推荐品牌：宝亚、MSA、依格）</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移动式长管呼吸器（推荐品牌：宝亚、MSA、依格）</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防化护目镜（推荐品牌：威尔斯福特、3M、霍尼韦尔）</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40副</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全面罩防毒面具（推荐品牌：安适达、3M、霍尼韦尔）</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8套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过滤式半面罩（推荐品牌：安适达、3M、霍尼韦尔）</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综合防护口罩（推荐品牌：安适达、3M、霍尼韦尔）</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400只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耳塞（推荐品牌：安适达、3M、霍尼韦尔）</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120只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耐酸碱手套（推荐品牌：ansell、3M、霍尼韦尔）</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20副</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10</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防护手套（推荐品牌：FAXTEX、3M、霍尼韦尔）</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50副</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11</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阻燃防静电服（推荐品牌：绿蚂蚁、尤普泰、杜邦）</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30套（L/XL/XXL各30套）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12</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气密性防火防化服（推荐品牌：霍尼韦尔、杜邦、阿波罗）</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13</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A级气密性防化服（推荐品牌：霍尼韦尔、杜邦、阿波罗）</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14</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C级防化服（推荐品牌：霍尼韦尔、杜邦、阿波罗）</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15</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反光背心（推荐品牌：绿蚂蚁、代尔塔、雷克兰）</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40件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16</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安全腰带（推荐品牌：E-COLOCK,代尔塔、凯比特）</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20根</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17</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缓降器（推荐品牌：浩川、代尔塔、凯比特）</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18</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安全帽（推荐品牌：MSA、格林维迩、代尔塔）</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40只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19</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高筒防化靴（推荐品牌：霍尼韦尔、代尔塔、莱尔）</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30双</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20</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防护用品类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防砸防刺防静电工作鞋（推荐品牌：海纳、代尔塔、霍尼韦尔）</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30双</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21</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救生筏（推荐品牌：浩川、东台、江海）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22</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救生圈（推荐品牌：浩川、东台、江海）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23</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救生衣（推荐品牌：海中洲、东台、江海）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30件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24</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折叠式担架（推荐品牌：浩川、东台、江海）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25</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急救药箱（含药品）（推荐品牌：浩川、东台、江海）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26</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阻燃安全网（推荐品牌：新时代、东台、江海）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4张</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27</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保温毯（推荐品牌：浩川、东台、江海）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20张</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28</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救生软梯（推荐品牌：力虎、东台、江海）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29</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移动式空气充气泵（推荐品牌：国厦、宝华、MCH）</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30</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生命救助类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全身式安全带（推荐品牌：凯比、E-COLOCK、MSA）</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31</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溢漏应急推车（推荐品牌：绿蚂蚁、newpig、SPC）</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32</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化学溢漏应急推车（推荐品牌：绿蚂蚁、newpig、SPC）</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33</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溢漏应急大桶（推荐品牌：绿蚂蚁、newpig、SPC）</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34</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化学溢漏应急大桶（推荐品牌：绿蚂蚁、newpig、SPC）</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35</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移动溢漏手推车（推荐品牌：绿蚂蚁、newpig、SPC）</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36</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铁锹（推荐品牌：绿蚂蚁、newpig、SPC）</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20把</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37</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化学集污袋（推荐品牌：绿蚂蚁、newpig、SPC）</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200只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38</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围堵防漏护道（推荐品牌：绿蚂蚁、newpig、SPC）</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100条</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39</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消油剂（推荐品牌：三江、新京华、海顺）</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40</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消油剂喷洒装备（推荐品牌：三江、新京华、海顺）</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41</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污染清理类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转盘式收油机（推荐品牌：三江、新京华、海顺）</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42</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动力燃料类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防爆防水电缆（推荐品牌：津成、中缆、凯汇）</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500m</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43</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动力燃料类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防爆配电箱（推荐品牌：伊莱科、盛通、一通）</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44</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动力燃料类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干电池（推荐品牌：双鹿、南孚、小霸王）</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50节</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45</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动力燃料类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移动照明灯组（推荐品牌：FoxFury、Pelican、星际）</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2组</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46</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动力燃料类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移动照明灯组（推荐品牌：FoxFury、Pelican、星际）</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2组</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47</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动力燃料类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移动发电机（推荐品牌：东明、赞马、科萨）</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48</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动力燃料类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防爆手摇式油泵（推荐品牌：龙杰、恒祥、恒安）</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49</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动力燃料类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防爆转送泵机组（推荐品牌：龙杰、恒祥、恒安）</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50</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组合工具箱（推荐品牌：世达、史丹利、卡尔）</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51</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救援三角架（推荐品牌：新实力、凯比特、霍尼韦尔）</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52</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注入式堵漏工具（推荐品牌：兴祥、东台、江海）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53</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粘贴式堵漏工具（推荐品牌：兴祥、宝仑、江海）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54</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阀门堵漏套具（推荐品牌：居思安、雷沃、浩川）</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55</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金属堵漏套管（推荐品牌：居思安、雷沃、浩川）</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56</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木制堵漏楔（推荐品牌：居思安、雷沃、浩川）</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57</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fldChar w:fldCharType="begin"/>
            </w:r>
            <w:r>
              <w:instrText xml:space="preserve"> HYPERLINK "http://www.cnyygj.com/product/?91_1255.html" \o "磁压式堵漏工具" </w:instrText>
            </w:r>
            <w:r>
              <w:fldChar w:fldCharType="separate"/>
            </w:r>
            <w:r>
              <w:rPr>
                <w:rFonts w:eastAsia="仿宋"/>
                <w:spacing w:val="-2"/>
              </w:rPr>
              <w:t>防爆磁压式堵漏工具（推荐品牌：闻达、居思安、浩川）</w:t>
            </w:r>
            <w:r>
              <w:rPr>
                <w:rFonts w:eastAsia="仿宋"/>
                <w:spacing w:val="-2"/>
              </w:rPr>
              <w:fldChar w:fldCharType="end"/>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58</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管道粘结剂（推荐品牌：IPS、德洛、汉高）</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59</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无火花工具（推荐品牌：闻达、居思安、浩川）</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60</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防爆潜水泵（推荐品牌：博禹、鄂泉、中球）</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61</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液压破拆工具组（推荐品牌：宝仑、居思安、浩川）</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62</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无齿锯（推荐品牌：鹏欣、居思安、浩川）</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63</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机动链锯（推荐品牌：本田、牧田、胡斯华纳）</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64</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液压千斤顶（推荐品牌：浩川、东台、江海）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65</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测厚仪（推荐品牌：希玛、德图、德力爱得）</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66</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液压单双管剪切器（推荐品牌：BELTON,Zentop、虎头牌）</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67</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撬棍（推荐品牌：浩川、东台、江海）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68</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集液盆/桶（推荐品牌：浩川、东台、江海）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69</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吊葫芦（推荐品牌：东洋、沪工、长鹿）</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2对</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70</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有毒物质密封桶</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71</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工程设备类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垫片</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各10片共70片</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72</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消防腰斧（推荐品牌：浩川、东台、江海）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73</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灭火毯（推荐品牌：浩川、东台、江海）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20片</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74</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警戒标志杆（推荐品牌：浩川、东台、江海）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75</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隔离警示带（推荐品牌：浩川、东台、江海）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10盘</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76</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出入口标志牌（推荐品牌：浩川、东台、江海）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77</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危险警示牌（推荐品牌：浩川、东台、江海）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78</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闪光警示灯（推荐品牌：浩川、东台、江海）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79</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消防水带抢（雾直两用）（推荐品牌：浩川、东台、江海）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8只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80</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消防水带（推荐品牌：亚龙、浩川、东台）</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81</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手持干粉灭火器（推荐品牌：伟记、浦江、东台）</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82</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推车式灭火器（推荐品牌：伟记、浦江、东台）</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83</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轻便式泡沫灭火装置（含枪头）（推荐品牌：共安、浦江、东台）</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84</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手持报警器（推荐品牌：浩川、东台、江海）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85</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防爆扩音喇叭（推荐品牌：浩川、东台、江海）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86</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机动消防手抬泵（推荐品牌：赞马、东进、东发）</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87</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消防器材类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消防平斧（推荐品牌：浩川、东台、江海）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88</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应急照明类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佩戴式防爆照明灯（推荐品牌：FoxFury、Pelican、星际）</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10组</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89</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应急照明类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手持防爆电筒（推荐品牌：FoxFury、Pelican、星际）</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90</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通讯类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手持防爆喊话器（推荐品牌：浩川、星际、江海）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91</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通讯类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防爆对讲机（推荐品牌：摩托罗拉、欧标、航越）</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92</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通讯类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呼救器（推荐品牌：浩川、东台、江海）</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93</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环境监测类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便携式四合一防爆检测仪（推荐品牌：恩尼克斯、英思科、MSA）</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94</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环境监测类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热成像仪（推荐品牌：博莱德、福禄克、德尔格）</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95</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环境监测类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便携红外测油仪（推荐品牌：精诚、中科谱创、北光）</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96</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环境监测类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手持红外测温仪（推荐品牌：德图、福禄克、德尔格）</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6只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97</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环境监测类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现场环境多功能测量仪（推荐品牌：德图、福禄克、德尔格）</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2只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98</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移动式静电接地报警器（推荐品牌：（斯硕、杉木、金岛）</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4台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99</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黄沙</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100袋</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100</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铁丝</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30kg</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101</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硼酸（推荐品牌：三益、信龙、北洲）</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102</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苏打水（巴马活泉、舒达源、倍特）</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5桶</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103</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应急清洗套装（车载）（推荐品牌：普利沃、云南白药、国药）</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104</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应急清洗套装（便携）（推荐品牌：普利沃、云南白药、国药）</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10瓶/盒</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105</w:t>
            </w:r>
          </w:p>
        </w:tc>
        <w:tc>
          <w:tcPr>
            <w:tcW w:w="1147"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69" w:type="pct"/>
            <w:tcBorders>
              <w:top w:val="single" w:color="auto" w:sz="4" w:space="0"/>
              <w:left w:val="nil"/>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应急现场洗消器（推荐产品：新实力、柯丽杰、浩川）</w:t>
            </w:r>
          </w:p>
        </w:tc>
        <w:tc>
          <w:tcPr>
            <w:tcW w:w="1215" w:type="pct"/>
            <w:tcBorders>
              <w:top w:val="single" w:color="auto" w:sz="4" w:space="0"/>
              <w:left w:val="nil"/>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1套</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569" w:type="pct"/>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106</w:t>
            </w:r>
          </w:p>
        </w:tc>
        <w:tc>
          <w:tcPr>
            <w:tcW w:w="1147" w:type="pct"/>
            <w:tcBorders>
              <w:top w:val="single" w:color="auto" w:sz="4" w:space="0"/>
              <w:left w:val="nil"/>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其他类</w:t>
            </w:r>
          </w:p>
        </w:tc>
        <w:tc>
          <w:tcPr>
            <w:tcW w:w="2069" w:type="pct"/>
            <w:tcBorders>
              <w:top w:val="single" w:color="auto" w:sz="4" w:space="0"/>
              <w:left w:val="nil"/>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应急物资货架/标签（定制产品）</w:t>
            </w:r>
          </w:p>
        </w:tc>
        <w:tc>
          <w:tcPr>
            <w:tcW w:w="1215" w:type="pct"/>
            <w:tcBorders>
              <w:top w:val="single" w:color="auto" w:sz="4" w:space="0"/>
              <w:left w:val="nil"/>
              <w:bottom w:val="single" w:color="auto" w:sz="12" w:space="0"/>
              <w:right w:val="single" w:color="auto" w:sz="12" w:space="0"/>
            </w:tcBorders>
            <w:noWrap w:val="0"/>
            <w:vAlign w:val="center"/>
          </w:tcPr>
          <w:p>
            <w:pPr>
              <w:widowControl/>
              <w:jc w:val="center"/>
              <w:rPr>
                <w:rFonts w:eastAsia="仿宋"/>
                <w:spacing w:val="-2"/>
              </w:rPr>
            </w:pPr>
            <w:r>
              <w:rPr>
                <w:rFonts w:eastAsia="仿宋"/>
                <w:spacing w:val="-2"/>
              </w:rPr>
              <w:t>1组</w:t>
            </w:r>
          </w:p>
        </w:tc>
      </w:tr>
    </w:tbl>
    <w:p>
      <w:pPr>
        <w:pStyle w:val="3"/>
        <w:rPr>
          <w:rFonts w:eastAsia="方正仿宋_GBK"/>
          <w:b w:val="0"/>
          <w:bCs w:val="0"/>
          <w:sz w:val="32"/>
        </w:rPr>
        <w:sectPr>
          <w:pgSz w:w="11907" w:h="16840"/>
          <w:pgMar w:top="1418" w:right="1418" w:bottom="1418" w:left="1418" w:header="851" w:footer="992" w:gutter="0"/>
          <w:pgNumType w:fmt="numberInDash"/>
          <w:cols w:space="720" w:num="1"/>
          <w:docGrid w:type="lines" w:linePitch="326" w:charSpace="0"/>
        </w:sectPr>
      </w:pPr>
    </w:p>
    <w:p>
      <w:pPr>
        <w:snapToGrid w:val="0"/>
        <w:spacing w:line="560" w:lineRule="exact"/>
        <w:rPr>
          <w:rFonts w:eastAsia="仿宋_GB2312"/>
          <w:sz w:val="32"/>
          <w:szCs w:val="32"/>
        </w:rPr>
      </w:pPr>
      <w:bookmarkStart w:id="78" w:name="_Toc121478065"/>
      <w:r>
        <w:rPr>
          <w:rFonts w:eastAsia="仿宋_GB2312"/>
          <w:sz w:val="32"/>
          <w:szCs w:val="32"/>
        </w:rPr>
        <w:t>附件8</w:t>
      </w:r>
      <w:bookmarkEnd w:id="78"/>
    </w:p>
    <w:p>
      <w:pPr>
        <w:pStyle w:val="3"/>
        <w:jc w:val="center"/>
        <w:rPr>
          <w:rFonts w:eastAsia="楷体"/>
          <w:b w:val="0"/>
          <w:bCs w:val="0"/>
          <w:sz w:val="32"/>
        </w:rPr>
      </w:pPr>
      <w:bookmarkStart w:id="79" w:name="_Toc121478066"/>
      <w:r>
        <w:rPr>
          <w:rFonts w:eastAsia="楷体"/>
          <w:b w:val="0"/>
          <w:bCs w:val="0"/>
          <w:sz w:val="32"/>
        </w:rPr>
        <w:t>港口企业应急通讯录</w:t>
      </w:r>
      <w:bookmarkEnd w:id="79"/>
    </w:p>
    <w:tbl>
      <w:tblPr>
        <w:tblStyle w:val="8"/>
        <w:tblW w:w="5000" w:type="pct"/>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654"/>
        <w:gridCol w:w="2004"/>
        <w:gridCol w:w="3474"/>
        <w:gridCol w:w="936"/>
        <w:gridCol w:w="1454"/>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12" w:space="0"/>
              <w:left w:val="single" w:color="auto" w:sz="12" w:space="0"/>
              <w:bottom w:val="single" w:color="auto" w:sz="12" w:space="0"/>
              <w:right w:val="single" w:color="auto" w:sz="4" w:space="0"/>
            </w:tcBorders>
            <w:noWrap w:val="0"/>
            <w:vAlign w:val="center"/>
          </w:tcPr>
          <w:p>
            <w:pPr>
              <w:widowControl/>
              <w:jc w:val="center"/>
              <w:rPr>
                <w:rFonts w:eastAsia="黑体"/>
                <w:b/>
                <w:bCs/>
                <w:spacing w:val="-2"/>
              </w:rPr>
            </w:pPr>
            <w:r>
              <w:rPr>
                <w:rFonts w:eastAsia="黑体"/>
                <w:b/>
                <w:bCs/>
                <w:spacing w:val="-2"/>
              </w:rPr>
              <w:t>序号</w:t>
            </w:r>
          </w:p>
        </w:tc>
        <w:tc>
          <w:tcPr>
            <w:tcW w:w="1176" w:type="pct"/>
            <w:tcBorders>
              <w:top w:val="single" w:color="auto" w:sz="12" w:space="0"/>
              <w:left w:val="nil"/>
              <w:bottom w:val="single" w:color="auto" w:sz="12" w:space="0"/>
              <w:right w:val="single" w:color="auto" w:sz="4" w:space="0"/>
            </w:tcBorders>
            <w:noWrap w:val="0"/>
            <w:vAlign w:val="center"/>
          </w:tcPr>
          <w:p>
            <w:pPr>
              <w:widowControl/>
              <w:jc w:val="center"/>
              <w:rPr>
                <w:rFonts w:eastAsia="黑体"/>
                <w:b/>
                <w:bCs/>
                <w:spacing w:val="-2"/>
              </w:rPr>
            </w:pPr>
            <w:r>
              <w:rPr>
                <w:rFonts w:eastAsia="黑体"/>
                <w:b/>
                <w:bCs/>
                <w:spacing w:val="-2"/>
              </w:rPr>
              <w:t>公司名称</w:t>
            </w:r>
          </w:p>
        </w:tc>
        <w:tc>
          <w:tcPr>
            <w:tcW w:w="2038" w:type="pct"/>
            <w:tcBorders>
              <w:top w:val="single" w:color="auto" w:sz="12" w:space="0"/>
              <w:left w:val="nil"/>
              <w:bottom w:val="single" w:color="auto" w:sz="12" w:space="0"/>
              <w:right w:val="single" w:color="auto" w:sz="4" w:space="0"/>
            </w:tcBorders>
            <w:noWrap w:val="0"/>
            <w:vAlign w:val="center"/>
          </w:tcPr>
          <w:p>
            <w:pPr>
              <w:widowControl/>
              <w:jc w:val="center"/>
              <w:rPr>
                <w:rFonts w:eastAsia="黑体"/>
                <w:b/>
                <w:bCs/>
                <w:spacing w:val="-2"/>
              </w:rPr>
            </w:pPr>
            <w:r>
              <w:rPr>
                <w:rFonts w:eastAsia="黑体"/>
                <w:b/>
                <w:bCs/>
                <w:spacing w:val="-2"/>
              </w:rPr>
              <w:t>办公地址</w:t>
            </w:r>
          </w:p>
        </w:tc>
        <w:tc>
          <w:tcPr>
            <w:tcW w:w="549" w:type="pct"/>
            <w:tcBorders>
              <w:top w:val="single" w:color="auto" w:sz="12" w:space="0"/>
              <w:left w:val="nil"/>
              <w:bottom w:val="single" w:color="auto" w:sz="12" w:space="0"/>
              <w:right w:val="single" w:color="auto" w:sz="12" w:space="0"/>
            </w:tcBorders>
            <w:noWrap w:val="0"/>
            <w:vAlign w:val="center"/>
          </w:tcPr>
          <w:p>
            <w:pPr>
              <w:widowControl/>
              <w:jc w:val="center"/>
              <w:rPr>
                <w:rFonts w:eastAsia="黑体"/>
                <w:b/>
                <w:bCs/>
                <w:spacing w:val="-2"/>
              </w:rPr>
            </w:pPr>
            <w:r>
              <w:rPr>
                <w:rFonts w:eastAsia="黑体"/>
                <w:b/>
                <w:bCs/>
                <w:spacing w:val="-2"/>
              </w:rPr>
              <w:t>联系人</w:t>
            </w:r>
          </w:p>
        </w:tc>
        <w:tc>
          <w:tcPr>
            <w:tcW w:w="853" w:type="pct"/>
            <w:tcBorders>
              <w:top w:val="single" w:color="auto" w:sz="12" w:space="0"/>
              <w:left w:val="nil"/>
              <w:bottom w:val="single" w:color="auto" w:sz="12" w:space="0"/>
              <w:right w:val="single" w:color="auto" w:sz="12" w:space="0"/>
            </w:tcBorders>
            <w:noWrap w:val="0"/>
            <w:vAlign w:val="center"/>
          </w:tcPr>
          <w:p>
            <w:pPr>
              <w:widowControl/>
              <w:jc w:val="center"/>
              <w:rPr>
                <w:rFonts w:eastAsia="黑体"/>
                <w:b/>
                <w:bCs/>
                <w:spacing w:val="-2"/>
              </w:rPr>
            </w:pPr>
            <w:r>
              <w:rPr>
                <w:rFonts w:eastAsia="黑体"/>
                <w:b/>
                <w:bCs/>
                <w:spacing w:val="-2"/>
              </w:rPr>
              <w:t>电话</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南京港龙潭天宇码头有限公司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南京市栖霞区龙潭街道龙潭物流园区1-6号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胡猛</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13002501083</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南京港（集团）有限公司第二港务分公司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南京市浦口区临江路1号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徐杨</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18651898830</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南京港（集团）有限公司新生圩港务分公司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南京市栖霞区燕子矶乡新生圩</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章飞</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13814160131</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南京港龙潭集装箱有限公司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南京市栖霞区龙潭大道9号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王莹</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15895992645</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南京港龙潭天辰码头有限公司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南京市栖霞区龙潭街道龙潭物流基地1-8号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张敏</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58585311</w:t>
            </w:r>
          </w:p>
          <w:p>
            <w:pPr>
              <w:widowControl/>
              <w:jc w:val="center"/>
              <w:rPr>
                <w:rFonts w:eastAsia="仿宋"/>
                <w:spacing w:val="-2"/>
              </w:rPr>
            </w:pPr>
            <w:r>
              <w:rPr>
                <w:rFonts w:eastAsia="仿宋"/>
                <w:spacing w:val="-2"/>
              </w:rPr>
              <w:t>18013998556</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南京新港码头储运有限公司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南京经济技术开发区新港大道133号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杨勇</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13505170993</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南京钢铁四通运输有限责任公司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南京市六合区卸甲甸凤滨路49号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王英安</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57072408</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南京华润热电有限公司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南京市雨花台区凤集大道22号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王春玉</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83083932</w:t>
            </w:r>
          </w:p>
          <w:p>
            <w:pPr>
              <w:widowControl/>
              <w:jc w:val="center"/>
              <w:rPr>
                <w:rFonts w:eastAsia="仿宋"/>
                <w:spacing w:val="-2"/>
              </w:rPr>
            </w:pPr>
            <w:r>
              <w:rPr>
                <w:rFonts w:eastAsia="仿宋"/>
                <w:spacing w:val="-2"/>
              </w:rPr>
              <w:t>13951869543</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中交三航局第三工程有限公司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南京市下关区江边路3号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钱冰莹</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18795885322</w:t>
            </w:r>
          </w:p>
          <w:p>
            <w:pPr>
              <w:widowControl/>
              <w:jc w:val="center"/>
              <w:rPr>
                <w:rFonts w:eastAsia="仿宋"/>
                <w:spacing w:val="-2"/>
              </w:rPr>
            </w:pPr>
            <w:r>
              <w:rPr>
                <w:rFonts w:eastAsia="仿宋"/>
                <w:spacing w:val="-2"/>
              </w:rPr>
              <w:t>58593310</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扬子石化-巴斯夫有限责任公司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南京市六合区乙烯路266号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潘军</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13912941197</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南京福邦特东方化工有限公司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南京市六合区大厂西厂门街1号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高庆</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17715251270</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中国石化集团南京化学工业有限公司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南京市六合区葛关路189号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赵振海</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18151610588</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上海梅山钢铁股份有限公司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南京市中华门外新建</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龚恒建</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18951856016</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南京扬子物流有限责任公司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南京市江北新区长芦街道乙烯路299号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孔玉泉</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13705169743</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南京石埠桥粮食储备库有限公司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南京市栖霞区石埠桥河西里1号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陈杰</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85761049</w:t>
            </w:r>
          </w:p>
          <w:p>
            <w:pPr>
              <w:widowControl/>
              <w:jc w:val="center"/>
              <w:rPr>
                <w:rFonts w:eastAsia="仿宋"/>
                <w:spacing w:val="-2"/>
              </w:rPr>
            </w:pPr>
            <w:r>
              <w:rPr>
                <w:rFonts w:eastAsia="仿宋"/>
                <w:spacing w:val="-2"/>
              </w:rPr>
              <w:t>13952044928</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南京市六合区粮食购销公司双龙粮食货运中转站</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南京市六合区龙袍镇兴隆洲</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杜伟鹏</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13951748787</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华能国际电力江苏能源开发有限公司南京电厂</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南京市六合区凤凰南路98号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朱卫东</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13913992413</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中石化长江燃料有限公司南京分公司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南京市鼓楼区中山北路350号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吕晓波</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15952014951</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南京凤翔码头装卸有限责任公司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南京市雨花台区板桥街道孙家村</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周亮</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13921405518</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中国石化集团金陵石油化工有限责任公司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南京市栖霞区栖霞街道甘家巷388号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张兴赞</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13770609187</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江南-小野田水泥有限公司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南京市栖霞区栖霞街道摄山镇88号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武凌</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13605167172</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南京龙翔液体化工储运码头有限公司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南京化学工业园区玉带镇新犁村郝家坝101＃</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邹景辉</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57625500</w:t>
            </w:r>
          </w:p>
          <w:p>
            <w:pPr>
              <w:widowControl/>
              <w:jc w:val="center"/>
              <w:rPr>
                <w:rFonts w:eastAsia="仿宋"/>
                <w:spacing w:val="-2"/>
              </w:rPr>
            </w:pPr>
            <w:r>
              <w:rPr>
                <w:rFonts w:eastAsia="仿宋"/>
                <w:spacing w:val="-2"/>
              </w:rPr>
              <w:t>18913039884</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中国石化扬子石油化工有限公司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南京高新技术产业开发区高科一路28号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黄金利</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58560083</w:t>
            </w:r>
          </w:p>
          <w:p>
            <w:pPr>
              <w:widowControl/>
              <w:jc w:val="center"/>
              <w:rPr>
                <w:rFonts w:eastAsia="仿宋"/>
                <w:spacing w:val="-2"/>
              </w:rPr>
            </w:pPr>
            <w:r>
              <w:rPr>
                <w:rFonts w:eastAsia="仿宋"/>
                <w:spacing w:val="-2"/>
              </w:rPr>
              <w:t>13770723961</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南京霞瑞实业有限公司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南京市栖霞区栖霞街道甘家巷400号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许辉</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83328606</w:t>
            </w:r>
          </w:p>
          <w:p>
            <w:pPr>
              <w:widowControl/>
              <w:jc w:val="center"/>
              <w:rPr>
                <w:rFonts w:eastAsia="仿宋"/>
                <w:spacing w:val="-2"/>
              </w:rPr>
            </w:pPr>
            <w:r>
              <w:rPr>
                <w:rFonts w:eastAsia="仿宋"/>
                <w:spacing w:val="-2"/>
              </w:rPr>
              <w:t>13951791082</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南京西坝码头有限公司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南京化学工业园区开发土地Y08-2-1号地块</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季曹娟</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13770886572</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南京惠洋码头有限公司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南京经济技术开发区新港大道7号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杨宁</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58584559</w:t>
            </w:r>
          </w:p>
          <w:p>
            <w:pPr>
              <w:widowControl/>
              <w:jc w:val="center"/>
              <w:rPr>
                <w:rFonts w:eastAsia="仿宋"/>
                <w:spacing w:val="-2"/>
              </w:rPr>
            </w:pPr>
            <w:r>
              <w:rPr>
                <w:rFonts w:eastAsia="仿宋"/>
                <w:spacing w:val="-2"/>
              </w:rPr>
              <w:t>13701476816</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南京大胜关港港口有限公司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南京市雨花经济开发区板桥河河口</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沈彪</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13851891111</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南京大厂港务有限公司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南京市六合区南岭</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郑国忠</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13705186302</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南京中石油三江口汇能码头有限公司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南京市栖霞区靖安街道三江口工业园</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孙栋</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15850797950</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南京明州码头有限公司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南京市栖霞区龙潭街道疏港路1号龙潭物流基地</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史薇</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15295566315</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南京兆基实业有限公司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南京市玄武区珠江路187号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刘海</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13851428424</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南京弘龙物流有限公司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南京市栖霞区尧化街道尧新社区</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季清清</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86911527</w:t>
            </w:r>
          </w:p>
          <w:p>
            <w:pPr>
              <w:widowControl/>
              <w:jc w:val="center"/>
              <w:rPr>
                <w:rFonts w:eastAsia="仿宋"/>
                <w:spacing w:val="-2"/>
              </w:rPr>
            </w:pPr>
            <w:r>
              <w:rPr>
                <w:rFonts w:eastAsia="仿宋"/>
                <w:spacing w:val="-2"/>
              </w:rPr>
              <w:t>13675123223</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南京海宏港口物流有限公司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南京市江宁区江宁街道星辉社区</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丁超</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87127799</w:t>
            </w:r>
          </w:p>
          <w:p>
            <w:pPr>
              <w:widowControl/>
              <w:jc w:val="center"/>
              <w:rPr>
                <w:rFonts w:eastAsia="仿宋"/>
                <w:spacing w:val="-2"/>
              </w:rPr>
            </w:pPr>
            <w:r>
              <w:rPr>
                <w:rFonts w:eastAsia="仿宋"/>
                <w:spacing w:val="-2"/>
              </w:rPr>
              <w:t>13515554376</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南京古雄码头有限公司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南京市雨花台区板桥街道三山村</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周亮</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13921405518</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欧德油储（南京）有限责任公司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南京市六合区大厂方水路158号349室</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金鑫</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18662707652</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华能南京金陵发电有限公司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南京市栖霞区经济技术开发区江乘大道8号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秦亚娟</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15062289873</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中石化南京清江物流有限公司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南京市江北新区长芦街道金江公路18号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王芳</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57559816</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南京炼油厂有限责任公司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南京市栖霞区甘家巷388号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杨德俊</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13813873215</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南京港（集团）有限公司轮驳分公司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南京市栖霞区新港大道119号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李圆明</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58583195</w:t>
            </w:r>
          </w:p>
          <w:p>
            <w:pPr>
              <w:widowControl/>
              <w:jc w:val="center"/>
              <w:rPr>
                <w:rFonts w:eastAsia="仿宋"/>
                <w:spacing w:val="-2"/>
              </w:rPr>
            </w:pPr>
            <w:r>
              <w:rPr>
                <w:rFonts w:eastAsia="仿宋"/>
                <w:spacing w:val="-2"/>
              </w:rPr>
              <w:t>13705187843</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南京杰来码头有限公司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南京市六合区大厂街道新华路668号5156室</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王艳珍</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52268890</w:t>
            </w:r>
          </w:p>
          <w:p>
            <w:pPr>
              <w:widowControl/>
              <w:jc w:val="center"/>
              <w:rPr>
                <w:rFonts w:eastAsia="仿宋"/>
                <w:spacing w:val="-2"/>
              </w:rPr>
            </w:pPr>
            <w:r>
              <w:rPr>
                <w:rFonts w:eastAsia="仿宋"/>
                <w:spacing w:val="-2"/>
              </w:rPr>
              <w:t>13770525893</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江苏南热发电有限责任公司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南京市六合区大厂凤凰南路158号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邢光磊</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85055111</w:t>
            </w:r>
          </w:p>
          <w:p>
            <w:pPr>
              <w:widowControl/>
              <w:jc w:val="center"/>
              <w:rPr>
                <w:rFonts w:eastAsia="仿宋"/>
                <w:spacing w:val="-2"/>
              </w:rPr>
            </w:pPr>
            <w:r>
              <w:rPr>
                <w:rFonts w:eastAsia="仿宋"/>
                <w:spacing w:val="-2"/>
              </w:rPr>
              <w:t>13951868223</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大唐南京发电厂</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南京市栖霞区马渡村</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汪向阳</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13809005290</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南京西坝港务有限公司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南京化学工业园区玉带镇西坝港区东二路1号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李永兆</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13451942975</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中国石化销售股份有限公司江苏南京石油分公司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南京市秦淮区中山东路416号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陈麒麟</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13913378406</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8"/>
              </w:rPr>
            </w:pPr>
            <w:r>
              <w:rPr>
                <w:rFonts w:eastAsia="仿宋"/>
                <w:spacing w:val="-8"/>
              </w:rPr>
              <w:t>中储南京物流有限公司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8"/>
              </w:rPr>
            </w:pPr>
            <w:r>
              <w:rPr>
                <w:rFonts w:eastAsia="仿宋"/>
                <w:spacing w:val="-8"/>
              </w:rPr>
              <w:t>南京市江宁区滨江开发区丽水大街1186号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潘明艳</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13951759157</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南京港机重工制造有限公司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南京经济技术开发区疏港路1号龙潭物流基地A-256号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宋金剑</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eastAsia="仿宋"/>
                <w:spacing w:val="-2"/>
                <w:lang w:eastAsia="zh-CN"/>
              </w:rPr>
            </w:pPr>
            <w:r>
              <w:rPr>
                <w:rFonts w:eastAsia="仿宋"/>
                <w:spacing w:val="-2"/>
              </w:rPr>
              <w:t>58583404</w:t>
            </w:r>
          </w:p>
          <w:p>
            <w:pPr>
              <w:widowControl/>
              <w:jc w:val="center"/>
              <w:rPr>
                <w:rFonts w:eastAsia="仿宋"/>
                <w:spacing w:val="-2"/>
              </w:rPr>
            </w:pPr>
            <w:r>
              <w:rPr>
                <w:rFonts w:eastAsia="仿宋"/>
                <w:spacing w:val="-2"/>
              </w:rPr>
              <w:t>13905159853</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南京港江北港务有限公司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南京市浦口区七坝路169号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章军</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18951717317</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江苏远锦滨江港港务有限公司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南京市江宁滨江经济开发区丽水大街18号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朱强</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13645190079</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南京港江盛汽车码头有限公司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南京经济技术开发区疏港路1号龙潭物流基地A-48号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严贵福</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13851688936</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南京华能南方实业开发股份有限公司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南京市秦淮区象房村路50号2栋</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董明俊</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13805168992</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南京长江七坝港投资发展有限责任公司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南京市浦口区桥林七坝滨江大道9号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王强</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13770586776</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南京龙宇码头有限公司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南京经济技术开发区恒广路9号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肖伟洲</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13611595239</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84" w:type="pct"/>
            <w:tcBorders>
              <w:top w:val="single" w:color="auto" w:sz="4" w:space="0"/>
              <w:left w:val="single" w:color="auto" w:sz="12" w:space="0"/>
              <w:bottom w:val="single" w:color="auto" w:sz="4" w:space="0"/>
              <w:right w:val="single" w:color="auto" w:sz="4" w:space="0"/>
            </w:tcBorders>
            <w:noWrap w:val="0"/>
            <w:vAlign w:val="center"/>
          </w:tcPr>
          <w:p>
            <w:pPr>
              <w:pStyle w:val="11"/>
              <w:widowControl/>
              <w:numPr>
                <w:ilvl w:val="0"/>
                <w:numId w:val="1"/>
              </w:numPr>
              <w:ind w:left="0" w:firstLine="0" w:firstLineChars="0"/>
              <w:jc w:val="center"/>
              <w:rPr>
                <w:rFonts w:eastAsia="仿宋"/>
                <w:spacing w:val="-2"/>
              </w:rPr>
            </w:pPr>
          </w:p>
        </w:tc>
        <w:tc>
          <w:tcPr>
            <w:tcW w:w="11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南京长江行游轮有限公司</w:t>
            </w:r>
          </w:p>
        </w:tc>
        <w:tc>
          <w:tcPr>
            <w:tcW w:w="20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南京市鼓楼区永济大道18-2号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何先军</w:t>
            </w:r>
          </w:p>
        </w:tc>
        <w:tc>
          <w:tcPr>
            <w:tcW w:w="853"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18015310558</w:t>
            </w:r>
          </w:p>
        </w:tc>
      </w:tr>
    </w:tbl>
    <w:p>
      <w:pPr>
        <w:pStyle w:val="3"/>
        <w:jc w:val="center"/>
      </w:pPr>
      <w:r>
        <w:br w:type="page"/>
      </w:r>
    </w:p>
    <w:p>
      <w:pPr>
        <w:snapToGrid w:val="0"/>
        <w:spacing w:line="560" w:lineRule="exact"/>
        <w:rPr>
          <w:rFonts w:eastAsia="仿宋_GB2312"/>
          <w:sz w:val="32"/>
          <w:szCs w:val="32"/>
        </w:rPr>
      </w:pPr>
      <w:bookmarkStart w:id="80" w:name="_Toc121478067"/>
      <w:r>
        <w:rPr>
          <w:rFonts w:eastAsia="仿宋_GB2312"/>
          <w:sz w:val="32"/>
          <w:szCs w:val="32"/>
        </w:rPr>
        <w:t>附件9</w:t>
      </w:r>
      <w:bookmarkEnd w:id="80"/>
    </w:p>
    <w:p>
      <w:pPr>
        <w:pStyle w:val="3"/>
        <w:jc w:val="center"/>
        <w:rPr>
          <w:rFonts w:eastAsia="楷体"/>
          <w:b w:val="0"/>
          <w:bCs w:val="0"/>
          <w:sz w:val="32"/>
        </w:rPr>
      </w:pPr>
      <w:bookmarkStart w:id="81" w:name="_Toc121478068"/>
      <w:r>
        <w:rPr>
          <w:rFonts w:eastAsia="楷体"/>
          <w:b w:val="0"/>
          <w:bCs w:val="0"/>
          <w:sz w:val="32"/>
        </w:rPr>
        <w:t>政府部门应急通讯录</w:t>
      </w:r>
      <w:bookmarkEnd w:id="81"/>
    </w:p>
    <w:tbl>
      <w:tblPr>
        <w:tblStyle w:val="8"/>
        <w:tblW w:w="5000" w:type="pct"/>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1456"/>
        <w:gridCol w:w="1203"/>
        <w:gridCol w:w="3073"/>
        <w:gridCol w:w="936"/>
        <w:gridCol w:w="1854"/>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560" w:type="pct"/>
            <w:gridSpan w:val="2"/>
            <w:tcBorders>
              <w:top w:val="single" w:color="auto" w:sz="12" w:space="0"/>
              <w:left w:val="single" w:color="auto" w:sz="12" w:space="0"/>
              <w:bottom w:val="single" w:color="auto" w:sz="12" w:space="0"/>
              <w:right w:val="single" w:color="auto" w:sz="4" w:space="0"/>
            </w:tcBorders>
            <w:noWrap w:val="0"/>
            <w:vAlign w:val="center"/>
          </w:tcPr>
          <w:p>
            <w:pPr>
              <w:widowControl/>
              <w:jc w:val="center"/>
              <w:rPr>
                <w:rFonts w:eastAsia="黑体"/>
                <w:b/>
                <w:bCs/>
                <w:spacing w:val="-2"/>
              </w:rPr>
            </w:pPr>
            <w:r>
              <w:rPr>
                <w:rFonts w:eastAsia="黑体"/>
                <w:b/>
                <w:bCs/>
                <w:spacing w:val="-2"/>
              </w:rPr>
              <w:t>政府相关应急部门</w:t>
            </w:r>
          </w:p>
        </w:tc>
        <w:tc>
          <w:tcPr>
            <w:tcW w:w="1803" w:type="pct"/>
            <w:tcBorders>
              <w:top w:val="single" w:color="auto" w:sz="12" w:space="0"/>
              <w:left w:val="nil"/>
              <w:bottom w:val="single" w:color="auto" w:sz="12" w:space="0"/>
              <w:right w:val="single" w:color="auto" w:sz="4" w:space="0"/>
            </w:tcBorders>
            <w:noWrap w:val="0"/>
            <w:vAlign w:val="center"/>
          </w:tcPr>
          <w:p>
            <w:pPr>
              <w:widowControl/>
              <w:jc w:val="center"/>
              <w:rPr>
                <w:rFonts w:eastAsia="黑体"/>
                <w:b/>
                <w:bCs/>
                <w:spacing w:val="-2"/>
              </w:rPr>
            </w:pPr>
            <w:r>
              <w:rPr>
                <w:rFonts w:eastAsia="黑体"/>
                <w:b/>
                <w:bCs/>
                <w:spacing w:val="-2"/>
              </w:rPr>
              <w:t>办公地址</w:t>
            </w:r>
          </w:p>
        </w:tc>
        <w:tc>
          <w:tcPr>
            <w:tcW w:w="549" w:type="pct"/>
            <w:tcBorders>
              <w:top w:val="single" w:color="auto" w:sz="12" w:space="0"/>
              <w:left w:val="nil"/>
              <w:bottom w:val="single" w:color="auto" w:sz="12" w:space="0"/>
              <w:right w:val="single" w:color="auto" w:sz="12" w:space="0"/>
            </w:tcBorders>
            <w:noWrap w:val="0"/>
            <w:vAlign w:val="center"/>
          </w:tcPr>
          <w:p>
            <w:pPr>
              <w:widowControl/>
              <w:jc w:val="center"/>
              <w:rPr>
                <w:rFonts w:eastAsia="黑体"/>
                <w:b/>
                <w:bCs/>
                <w:spacing w:val="-2"/>
              </w:rPr>
            </w:pPr>
            <w:r>
              <w:rPr>
                <w:rFonts w:eastAsia="黑体"/>
                <w:b/>
                <w:bCs/>
                <w:spacing w:val="-2"/>
              </w:rPr>
              <w:t>联系人</w:t>
            </w:r>
          </w:p>
        </w:tc>
        <w:tc>
          <w:tcPr>
            <w:tcW w:w="1088" w:type="pct"/>
            <w:tcBorders>
              <w:top w:val="single" w:color="auto" w:sz="12" w:space="0"/>
              <w:left w:val="nil"/>
              <w:bottom w:val="single" w:color="auto" w:sz="12" w:space="0"/>
              <w:right w:val="single" w:color="auto" w:sz="12" w:space="0"/>
            </w:tcBorders>
            <w:noWrap w:val="0"/>
            <w:vAlign w:val="center"/>
          </w:tcPr>
          <w:p>
            <w:pPr>
              <w:widowControl/>
              <w:jc w:val="center"/>
              <w:rPr>
                <w:rFonts w:eastAsia="黑体"/>
                <w:b/>
                <w:bCs/>
                <w:spacing w:val="-2"/>
              </w:rPr>
            </w:pPr>
            <w:r>
              <w:rPr>
                <w:rFonts w:eastAsia="黑体"/>
                <w:b/>
                <w:bCs/>
                <w:spacing w:val="-2"/>
              </w:rPr>
              <w:t>电话</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560" w:type="pct"/>
            <w:gridSpan w:val="2"/>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南京交通运输综合应急指挥中心</w:t>
            </w:r>
          </w:p>
        </w:tc>
        <w:tc>
          <w:tcPr>
            <w:tcW w:w="180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南京市珠江路63-1号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p>
        </w:tc>
        <w:tc>
          <w:tcPr>
            <w:tcW w:w="1088"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025-83194295</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560" w:type="pct"/>
            <w:gridSpan w:val="2"/>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市交通运输综合行政执法监督局</w:t>
            </w:r>
            <w:r>
              <w:rPr>
                <w:rFonts w:hint="eastAsia" w:eastAsia="仿宋"/>
                <w:spacing w:val="-2"/>
              </w:rPr>
              <w:t>应急指挥</w:t>
            </w:r>
            <w:r>
              <w:rPr>
                <w:rFonts w:eastAsia="仿宋"/>
                <w:spacing w:val="-2"/>
              </w:rPr>
              <w:t>中心</w:t>
            </w:r>
          </w:p>
        </w:tc>
        <w:tc>
          <w:tcPr>
            <w:tcW w:w="180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南京市鼓楼区热河南路101号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p>
        </w:tc>
        <w:tc>
          <w:tcPr>
            <w:tcW w:w="1088"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025-89608110</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854" w:type="pct"/>
            <w:vMerge w:val="restart"/>
            <w:tcBorders>
              <w:top w:val="single" w:color="auto" w:sz="4" w:space="0"/>
              <w:left w:val="single" w:color="auto" w:sz="12" w:space="0"/>
              <w:right w:val="single" w:color="auto" w:sz="4" w:space="0"/>
            </w:tcBorders>
            <w:noWrap w:val="0"/>
            <w:vAlign w:val="center"/>
          </w:tcPr>
          <w:p>
            <w:pPr>
              <w:widowControl/>
              <w:jc w:val="center"/>
              <w:rPr>
                <w:rFonts w:eastAsia="仿宋"/>
                <w:spacing w:val="-2"/>
              </w:rPr>
            </w:pPr>
            <w:r>
              <w:rPr>
                <w:rFonts w:eastAsia="仿宋"/>
                <w:spacing w:val="-2"/>
              </w:rPr>
              <w:t>市沿江港口应急物资公共储备库</w:t>
            </w:r>
          </w:p>
        </w:tc>
        <w:tc>
          <w:tcPr>
            <w:tcW w:w="70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栖霞库</w:t>
            </w:r>
          </w:p>
        </w:tc>
        <w:tc>
          <w:tcPr>
            <w:tcW w:w="180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南京市栖霞区甘家巷388号</w:t>
            </w:r>
          </w:p>
        </w:tc>
        <w:tc>
          <w:tcPr>
            <w:tcW w:w="54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spacing w:val="-2"/>
              </w:rPr>
            </w:pPr>
            <w:r>
              <w:rPr>
                <w:rFonts w:eastAsia="仿宋"/>
                <w:spacing w:val="-2"/>
              </w:rPr>
              <w:t>郑小军</w:t>
            </w:r>
          </w:p>
        </w:tc>
        <w:tc>
          <w:tcPr>
            <w:tcW w:w="1088" w:type="pct"/>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eastAsia="仿宋"/>
                <w:spacing w:val="-2"/>
              </w:rPr>
            </w:pPr>
            <w:r>
              <w:rPr>
                <w:rFonts w:eastAsia="仿宋"/>
                <w:spacing w:val="-2"/>
              </w:rPr>
              <w:t>18151662166</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854" w:type="pct"/>
            <w:vMerge w:val="continue"/>
            <w:tcBorders>
              <w:left w:val="single" w:color="auto" w:sz="12" w:space="0"/>
              <w:bottom w:val="single" w:color="auto" w:sz="12" w:space="0"/>
              <w:right w:val="single" w:color="auto" w:sz="4" w:space="0"/>
            </w:tcBorders>
            <w:noWrap w:val="0"/>
            <w:vAlign w:val="center"/>
          </w:tcPr>
          <w:p>
            <w:pPr>
              <w:widowControl/>
              <w:jc w:val="center"/>
              <w:rPr>
                <w:rFonts w:eastAsia="仿宋"/>
                <w:spacing w:val="-2"/>
              </w:rPr>
            </w:pPr>
          </w:p>
        </w:tc>
        <w:tc>
          <w:tcPr>
            <w:tcW w:w="706" w:type="pct"/>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大厂库</w:t>
            </w:r>
          </w:p>
        </w:tc>
        <w:tc>
          <w:tcPr>
            <w:tcW w:w="1803" w:type="pct"/>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南京高新技术产业开发区高科一路28号</w:t>
            </w:r>
          </w:p>
        </w:tc>
        <w:tc>
          <w:tcPr>
            <w:tcW w:w="549" w:type="pct"/>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eastAsia="仿宋"/>
                <w:spacing w:val="-2"/>
              </w:rPr>
            </w:pPr>
            <w:r>
              <w:rPr>
                <w:rFonts w:eastAsia="仿宋"/>
                <w:spacing w:val="-2"/>
              </w:rPr>
              <w:t>蔡建</w:t>
            </w:r>
          </w:p>
        </w:tc>
        <w:tc>
          <w:tcPr>
            <w:tcW w:w="1088" w:type="pct"/>
            <w:tcBorders>
              <w:top w:val="single" w:color="auto" w:sz="4" w:space="0"/>
              <w:left w:val="single" w:color="auto" w:sz="4" w:space="0"/>
              <w:bottom w:val="single" w:color="auto" w:sz="12" w:space="0"/>
              <w:right w:val="single" w:color="auto" w:sz="12" w:space="0"/>
            </w:tcBorders>
            <w:noWrap w:val="0"/>
            <w:vAlign w:val="center"/>
          </w:tcPr>
          <w:p>
            <w:pPr>
              <w:widowControl/>
              <w:jc w:val="center"/>
              <w:rPr>
                <w:rFonts w:eastAsia="仿宋"/>
                <w:spacing w:val="-2"/>
              </w:rPr>
            </w:pPr>
            <w:r>
              <w:rPr>
                <w:rFonts w:eastAsia="仿宋"/>
                <w:spacing w:val="-2"/>
              </w:rPr>
              <w:t>15951772962</w:t>
            </w:r>
          </w:p>
        </w:tc>
      </w:tr>
    </w:tbl>
    <w:p/>
    <w:p/>
    <w:bookmarkEnd w:id="2"/>
    <w:bookmarkEnd w:id="3"/>
    <w:p>
      <w:r>
        <w:rPr>
          <w:rFonts w:hint="eastAsia" w:ascii="宋体" w:hAnsi="宋体" w:cs="Arial"/>
          <w:b w:val="0"/>
          <w:color w:val="424242"/>
          <w:kern w:val="0"/>
          <w:sz w:val="44"/>
          <w:szCs w:val="44"/>
        </w:rPr>
        <w:br w:type="page"/>
      </w:r>
      <w:bookmarkStart w:id="82" w:name="_GoBack"/>
      <w:bookmarkEnd w:id="8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254B5"/>
    <w:multiLevelType w:val="multilevel"/>
    <w:tmpl w:val="3A8254B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jRiOGYyMTEyNzQ1NzkyZmEwODczZWQ0ZGE3OWMifQ=="/>
  </w:docVars>
  <w:rsids>
    <w:rsidRoot w:val="00000000"/>
    <w:rsid w:val="6CC1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20" w:lineRule="exact"/>
      <w:outlineLvl w:val="0"/>
    </w:pPr>
    <w:rPr>
      <w:rFonts w:eastAsia="黑体"/>
      <w:b/>
      <w:bCs/>
      <w:kern w:val="44"/>
      <w:sz w:val="32"/>
      <w:szCs w:val="44"/>
    </w:rPr>
  </w:style>
  <w:style w:type="paragraph" w:styleId="3">
    <w:name w:val="heading 2"/>
    <w:basedOn w:val="1"/>
    <w:next w:val="1"/>
    <w:qFormat/>
    <w:uiPriority w:val="0"/>
    <w:pPr>
      <w:keepNext/>
      <w:keepLines/>
      <w:spacing w:line="520" w:lineRule="exact"/>
      <w:outlineLvl w:val="1"/>
    </w:pPr>
    <w:rPr>
      <w:rFonts w:eastAsia="仿宋_GB2312"/>
      <w:b/>
      <w:bCs/>
      <w:sz w:val="30"/>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spacing w:before="190"/>
      <w:ind w:left="500" w:firstLine="640"/>
    </w:pPr>
    <w:rPr>
      <w:rFonts w:ascii="仿宋" w:hAnsi="仿宋" w:eastAsia="仿宋" w:cs="仿宋"/>
      <w:sz w:val="32"/>
      <w:szCs w:val="32"/>
      <w:lang w:val="zh-CN" w:bidi="zh-CN"/>
    </w:rPr>
  </w:style>
  <w:style w:type="paragraph" w:styleId="5">
    <w:name w:val="Date"/>
    <w:basedOn w:val="1"/>
    <w:next w:val="1"/>
    <w:uiPriority w:val="0"/>
    <w:rPr>
      <w:rFonts w:ascii="仿宋_GB2312" w:eastAsia="仿宋_GB2312"/>
      <w:sz w:val="32"/>
    </w:rPr>
  </w:style>
  <w:style w:type="paragraph" w:styleId="6">
    <w:name w:val="Normal (Web)"/>
    <w:basedOn w:val="1"/>
    <w:next w:val="5"/>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customStyle="1" w:styleId="10">
    <w:name w:val="Table Paragraph"/>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val="0"/>
      <w:autoSpaceDN w:val="0"/>
      <w:bidi w:val="0"/>
      <w:adjustRightInd w:val="0"/>
      <w:snapToGrid/>
      <w:spacing w:before="0" w:beforeLines="0" w:beforeAutospacing="0" w:after="0" w:afterLines="0" w:afterAutospacing="0" w:line="240" w:lineRule="auto"/>
      <w:ind w:left="0" w:right="0" w:firstLine="0"/>
      <w:jc w:val="left"/>
      <w:textAlignment w:val="auto"/>
      <w:outlineLvl w:val="9"/>
    </w:pPr>
    <w:rPr>
      <w:rFonts w:ascii="Times New Roman" w:hAnsi="Times New Roman" w:eastAsia="等线"/>
      <w:snapToGrid/>
      <w:color w:val="auto"/>
      <w:spacing w:val="0"/>
      <w:w w:val="100"/>
      <w:kern w:val="0"/>
      <w:position w:val="0"/>
      <w:sz w:val="24"/>
      <w:szCs w:val="24"/>
      <w:u w:val="none" w:color="auto"/>
      <w:shd w:val="clear" w:color="auto" w:fill="auto"/>
      <w:vertAlign w:val="baseline"/>
      <w:lang w:val="en-US" w:eastAsia="zh-CN"/>
    </w:rPr>
  </w:style>
  <w:style w:type="paragraph" w:customStyle="1" w:styleId="11">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2022-12-27T08:31:56Z</dcterms:created>
  <dc:creator>dell</dc:creator>
  <cp:lastModifiedBy>dell</cp:lastModifiedBy>
  <dcterms:modified xsi:type="dcterms:W3CDTF">2022-12-27T08:33:08Z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E6901F30F98F4265A8F9881AF47316F9</vt:lpwstr>
  </property>
</Properties>
</file>